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6C032ADA" w:rsidR="00CD3913" w:rsidRPr="003522A9" w:rsidRDefault="004C344B" w:rsidP="004C58CF">
      <w:pPr>
        <w:jc w:val="center"/>
        <w:rPr>
          <w:rFonts w:ascii="Arial" w:hAnsi="Arial" w:cs="Arial"/>
          <w:b/>
          <w:bCs/>
        </w:rPr>
      </w:pPr>
      <w:r w:rsidRPr="004C344B">
        <w:rPr>
          <w:rFonts w:ascii="Arial" w:hAnsi="Arial" w:cs="Arial"/>
          <w:b/>
          <w:bCs/>
        </w:rPr>
        <w:t xml:space="preserve">Interrater </w:t>
      </w:r>
      <w:r>
        <w:rPr>
          <w:rFonts w:ascii="Arial" w:hAnsi="Arial" w:cs="Arial"/>
          <w:b/>
          <w:bCs/>
        </w:rPr>
        <w:t>A</w:t>
      </w:r>
      <w:r w:rsidRPr="004C344B">
        <w:rPr>
          <w:rFonts w:ascii="Arial" w:hAnsi="Arial" w:cs="Arial"/>
          <w:b/>
          <w:bCs/>
        </w:rPr>
        <w:t xml:space="preserve">greement </w:t>
      </w:r>
      <w:r w:rsidR="0021324C" w:rsidRPr="003522A9">
        <w:rPr>
          <w:rFonts w:ascii="Arial" w:hAnsi="Arial" w:cs="Arial"/>
          <w:b/>
          <w:bCs/>
        </w:rPr>
        <w:t xml:space="preserve">Using </w:t>
      </w:r>
      <w:r w:rsidR="00936708">
        <w:rPr>
          <w:rFonts w:ascii="Arial" w:hAnsi="Arial" w:cs="Arial"/>
          <w:b/>
          <w:bCs/>
        </w:rPr>
        <w:t>SAS</w:t>
      </w:r>
    </w:p>
    <w:p w14:paraId="2F020202" w14:textId="77777777" w:rsidR="004C58CF" w:rsidRDefault="004C58CF" w:rsidP="004C58CF">
      <w:pPr>
        <w:jc w:val="center"/>
        <w:rPr>
          <w:rFonts w:ascii="Arial" w:hAnsi="Arial" w:cs="Arial"/>
        </w:rPr>
      </w:pPr>
    </w:p>
    <w:p w14:paraId="441172CD" w14:textId="23330071" w:rsidR="00152FFE" w:rsidRDefault="00FA42CE" w:rsidP="002C5F73">
      <w:pPr>
        <w:rPr>
          <w:rFonts w:ascii="Arial" w:hAnsi="Arial" w:cs="Arial"/>
        </w:rPr>
      </w:pPr>
      <w:r>
        <w:rPr>
          <w:rFonts w:ascii="Arial" w:hAnsi="Arial" w:cs="Arial"/>
        </w:rPr>
        <w:t>In this document I explain how to use S</w:t>
      </w:r>
      <w:r w:rsidR="00936708">
        <w:rPr>
          <w:rFonts w:ascii="Arial" w:hAnsi="Arial" w:cs="Arial"/>
        </w:rPr>
        <w:t>AS</w:t>
      </w:r>
      <w:r>
        <w:rPr>
          <w:rFonts w:ascii="Arial" w:hAnsi="Arial" w:cs="Arial"/>
        </w:rPr>
        <w:t xml:space="preserve"> to </w:t>
      </w:r>
      <w:r w:rsidR="0061214C">
        <w:rPr>
          <w:rFonts w:ascii="Arial" w:hAnsi="Arial" w:cs="Arial"/>
        </w:rPr>
        <w:t xml:space="preserve">obtain </w:t>
      </w:r>
      <w:r w:rsidR="00B02201">
        <w:rPr>
          <w:rFonts w:ascii="Arial" w:hAnsi="Arial" w:cs="Arial"/>
        </w:rPr>
        <w:t>i</w:t>
      </w:r>
      <w:r w:rsidR="004C344B" w:rsidRPr="004C344B">
        <w:rPr>
          <w:rFonts w:ascii="Arial" w:hAnsi="Arial" w:cs="Arial"/>
        </w:rPr>
        <w:t xml:space="preserve">nterrater agreement </w:t>
      </w:r>
      <w:r w:rsidR="004C344B">
        <w:rPr>
          <w:rFonts w:ascii="Arial" w:hAnsi="Arial" w:cs="Arial"/>
        </w:rPr>
        <w:t>indices</w:t>
      </w:r>
      <w:r w:rsidR="00B02201">
        <w:rPr>
          <w:rFonts w:ascii="Arial" w:hAnsi="Arial" w:cs="Arial"/>
        </w:rPr>
        <w:t>.</w:t>
      </w:r>
      <w:r w:rsidR="004C344B">
        <w:rPr>
          <w:rFonts w:ascii="Arial" w:hAnsi="Arial" w:cs="Arial"/>
        </w:rPr>
        <w:t xml:space="preserve"> </w:t>
      </w:r>
      <w:r w:rsidR="00152FFE">
        <w:rPr>
          <w:rFonts w:ascii="Arial" w:hAnsi="Arial" w:cs="Arial"/>
        </w:rPr>
        <w:t xml:space="preserve">The data for these examples are </w:t>
      </w:r>
      <w:r w:rsidR="002C5F73">
        <w:rPr>
          <w:rFonts w:ascii="Arial" w:hAnsi="Arial" w:cs="Arial"/>
        </w:rPr>
        <w:t>taken from Table 9.1 in the book (p. 211) and are in the S</w:t>
      </w:r>
      <w:r w:rsidR="00B02201">
        <w:rPr>
          <w:rFonts w:ascii="Arial" w:hAnsi="Arial" w:cs="Arial"/>
        </w:rPr>
        <w:t>AS</w:t>
      </w:r>
      <w:r w:rsidR="002C5F73">
        <w:rPr>
          <w:rFonts w:ascii="Arial" w:hAnsi="Arial" w:cs="Arial"/>
        </w:rPr>
        <w:t xml:space="preserve"> </w:t>
      </w:r>
      <w:r w:rsidR="00152FFE">
        <w:rPr>
          <w:rFonts w:ascii="Arial" w:hAnsi="Arial" w:cs="Arial"/>
        </w:rPr>
        <w:t>dataset “</w:t>
      </w:r>
      <w:r w:rsidR="002C5F73" w:rsidRPr="00BD2C31">
        <w:rPr>
          <w:rFonts w:ascii="Arial" w:hAnsi="Arial" w:cs="Arial"/>
          <w:b/>
          <w:bCs/>
        </w:rPr>
        <w:t>rater</w:t>
      </w:r>
      <w:r w:rsidR="00B02201" w:rsidRPr="00BD2C31">
        <w:rPr>
          <w:rFonts w:ascii="Arial" w:hAnsi="Arial" w:cs="Arial"/>
          <w:b/>
          <w:bCs/>
        </w:rPr>
        <w:t>.sas7bdat</w:t>
      </w:r>
      <w:r w:rsidR="00152FFE">
        <w:rPr>
          <w:rFonts w:ascii="Arial" w:hAnsi="Arial" w:cs="Arial"/>
        </w:rPr>
        <w:t>”</w:t>
      </w:r>
      <w:r w:rsidR="00152FFE" w:rsidRPr="00152FFE">
        <w:rPr>
          <w:rFonts w:ascii="Arial" w:hAnsi="Arial" w:cs="Arial"/>
        </w:rPr>
        <w:t xml:space="preserve"> </w:t>
      </w:r>
    </w:p>
    <w:p w14:paraId="1845EBCE" w14:textId="4D73F92E" w:rsidR="002C5F73" w:rsidRDefault="002C5F73" w:rsidP="002C5F73">
      <w:pPr>
        <w:rPr>
          <w:rFonts w:ascii="Arial" w:hAnsi="Arial" w:cs="Arial"/>
        </w:rPr>
      </w:pPr>
    </w:p>
    <w:p w14:paraId="2A843041" w14:textId="530AEB3C" w:rsidR="0050210B" w:rsidRDefault="002C5F73" w:rsidP="00152FFE">
      <w:pPr>
        <w:rPr>
          <w:rFonts w:ascii="Arial" w:hAnsi="Arial"/>
          <w:szCs w:val="20"/>
          <w:lang w:bidi="ar-SA"/>
        </w:rPr>
      </w:pPr>
      <w:r>
        <w:rPr>
          <w:rFonts w:ascii="Arial" w:hAnsi="Arial"/>
          <w:szCs w:val="20"/>
          <w:lang w:bidi="ar-SA"/>
        </w:rPr>
        <w:t>For interrater agreement, S</w:t>
      </w:r>
      <w:r w:rsidR="00F61FA7">
        <w:rPr>
          <w:rFonts w:ascii="Arial" w:hAnsi="Arial"/>
          <w:szCs w:val="20"/>
          <w:lang w:bidi="ar-SA"/>
        </w:rPr>
        <w:t>AS</w:t>
      </w:r>
      <w:r>
        <w:rPr>
          <w:rFonts w:ascii="Arial" w:hAnsi="Arial"/>
          <w:szCs w:val="20"/>
          <w:lang w:bidi="ar-SA"/>
        </w:rPr>
        <w:t xml:space="preserve"> will calculate Cohen’s kappa and will produce</w:t>
      </w:r>
      <w:r w:rsidR="0050210B">
        <w:rPr>
          <w:rFonts w:ascii="Arial" w:hAnsi="Arial"/>
          <w:szCs w:val="20"/>
          <w:lang w:bidi="ar-SA"/>
        </w:rPr>
        <w:t xml:space="preserve"> </w:t>
      </w:r>
      <w:r>
        <w:rPr>
          <w:rFonts w:ascii="Arial" w:hAnsi="Arial"/>
          <w:szCs w:val="20"/>
          <w:lang w:bidi="ar-SA"/>
        </w:rPr>
        <w:t>tables such as that shown in Table 9.2 in the book.</w:t>
      </w:r>
      <w:r w:rsidR="0050210B">
        <w:rPr>
          <w:rFonts w:ascii="Arial" w:hAnsi="Arial"/>
          <w:szCs w:val="20"/>
          <w:lang w:bidi="ar-SA"/>
        </w:rPr>
        <w:t xml:space="preserve"> </w:t>
      </w:r>
    </w:p>
    <w:p w14:paraId="5E6A13A1" w14:textId="77777777" w:rsidR="00343BEC" w:rsidRDefault="00343BEC" w:rsidP="00152FFE">
      <w:pPr>
        <w:rPr>
          <w:rFonts w:ascii="Arial" w:hAnsi="Arial"/>
          <w:szCs w:val="20"/>
          <w:lang w:bidi="ar-SA"/>
        </w:rPr>
      </w:pPr>
    </w:p>
    <w:p w14:paraId="4DE4A863" w14:textId="2D98B29A" w:rsidR="009F7055" w:rsidRDefault="0050210B" w:rsidP="00152FFE">
      <w:pPr>
        <w:rPr>
          <w:rFonts w:ascii="Arial" w:hAnsi="Arial"/>
          <w:szCs w:val="20"/>
          <w:lang w:bidi="ar-SA"/>
        </w:rPr>
      </w:pPr>
      <w:r>
        <w:rPr>
          <w:rFonts w:ascii="Arial" w:hAnsi="Arial"/>
          <w:szCs w:val="20"/>
          <w:lang w:bidi="ar-SA"/>
        </w:rPr>
        <w:t>I discuss two ways to obtain values of nominal agreement using S</w:t>
      </w:r>
      <w:r w:rsidR="00F61FA7">
        <w:rPr>
          <w:rFonts w:ascii="Arial" w:hAnsi="Arial"/>
          <w:szCs w:val="20"/>
          <w:lang w:bidi="ar-SA"/>
        </w:rPr>
        <w:t>AS</w:t>
      </w:r>
      <w:r>
        <w:rPr>
          <w:rFonts w:ascii="Arial" w:hAnsi="Arial"/>
          <w:szCs w:val="20"/>
          <w:lang w:bidi="ar-SA"/>
        </w:rPr>
        <w:t xml:space="preserve">. </w:t>
      </w:r>
    </w:p>
    <w:p w14:paraId="63DAA7F1" w14:textId="77777777" w:rsidR="009F7055" w:rsidRDefault="009F7055" w:rsidP="00152FFE">
      <w:pPr>
        <w:rPr>
          <w:rFonts w:ascii="Arial" w:hAnsi="Arial"/>
          <w:szCs w:val="20"/>
          <w:lang w:bidi="ar-SA"/>
        </w:rPr>
      </w:pPr>
    </w:p>
    <w:p w14:paraId="7C325D4B" w14:textId="581CCC68" w:rsidR="00152FFE" w:rsidRDefault="005B11BA" w:rsidP="00152FFE">
      <w:pPr>
        <w:rPr>
          <w:rFonts w:ascii="Arial" w:hAnsi="Arial"/>
          <w:szCs w:val="20"/>
          <w:lang w:bidi="ar-SA"/>
        </w:rPr>
      </w:pPr>
      <w:r>
        <w:rPr>
          <w:rFonts w:ascii="Arial" w:hAnsi="Arial"/>
          <w:szCs w:val="20"/>
          <w:lang w:bidi="ar-SA"/>
        </w:rPr>
        <w:t>The first way is to obtain a crosstabulation table for the ratings from the two raters of interest. Then simply count the numbers on the diagonal of the table and divide by the total to obtain the nominal agreement index.</w:t>
      </w:r>
    </w:p>
    <w:p w14:paraId="6E54BD13" w14:textId="77777777" w:rsidR="005B11BA" w:rsidRDefault="005B11BA" w:rsidP="00152FFE">
      <w:pPr>
        <w:rPr>
          <w:rFonts w:ascii="Arial" w:hAnsi="Arial"/>
          <w:szCs w:val="20"/>
          <w:lang w:bidi="ar-SA"/>
        </w:rPr>
      </w:pPr>
      <w:bookmarkStart w:id="0" w:name="_GoBack"/>
      <w:bookmarkEnd w:id="0"/>
    </w:p>
    <w:p w14:paraId="494A394F" w14:textId="7901378A" w:rsidR="0050210B" w:rsidRPr="0050210B" w:rsidRDefault="0050210B" w:rsidP="00152FFE">
      <w:pPr>
        <w:rPr>
          <w:rFonts w:ascii="Arial" w:hAnsi="Arial"/>
          <w:szCs w:val="20"/>
          <w:lang w:bidi="ar-SA"/>
        </w:rPr>
      </w:pPr>
      <w:r w:rsidRPr="00BD2C31">
        <w:rPr>
          <w:rFonts w:ascii="Arial" w:hAnsi="Arial"/>
          <w:szCs w:val="20"/>
          <w:lang w:bidi="ar-SA"/>
        </w:rPr>
        <w:t xml:space="preserve">The second way is to use </w:t>
      </w:r>
      <w:r w:rsidR="00BD2C31">
        <w:rPr>
          <w:rFonts w:ascii="Arial" w:hAnsi="Arial"/>
          <w:szCs w:val="20"/>
          <w:lang w:bidi="ar-SA"/>
        </w:rPr>
        <w:t xml:space="preserve">a data step </w:t>
      </w:r>
      <w:r w:rsidRPr="00BD2C31">
        <w:rPr>
          <w:rFonts w:ascii="Arial" w:hAnsi="Arial"/>
          <w:szCs w:val="20"/>
          <w:lang w:bidi="ar-SA"/>
        </w:rPr>
        <w:t xml:space="preserve">to calculate agreement between pairs of raters and then use </w:t>
      </w:r>
      <w:r w:rsidR="00BD2C31" w:rsidRPr="00BD2C31">
        <w:rPr>
          <w:rFonts w:ascii="Arial" w:hAnsi="Arial"/>
          <w:b/>
          <w:bCs/>
          <w:szCs w:val="20"/>
          <w:lang w:bidi="ar-SA"/>
        </w:rPr>
        <w:t>proc means</w:t>
      </w:r>
      <w:r w:rsidRPr="00BD2C31">
        <w:rPr>
          <w:rFonts w:ascii="Arial" w:hAnsi="Arial"/>
          <w:szCs w:val="20"/>
          <w:lang w:bidi="ar-SA"/>
        </w:rPr>
        <w:t xml:space="preserve"> to obtain the mean of these agreements. This mean is the nominal agreement.</w:t>
      </w:r>
      <w:r w:rsidR="00343BEC">
        <w:rPr>
          <w:rFonts w:ascii="Arial" w:hAnsi="Arial"/>
          <w:szCs w:val="20"/>
          <w:lang w:bidi="ar-SA"/>
        </w:rPr>
        <w:t xml:space="preserve"> </w:t>
      </w:r>
    </w:p>
    <w:p w14:paraId="6BC41A77" w14:textId="77777777" w:rsidR="002C5F73" w:rsidRPr="00152FFE" w:rsidRDefault="002C5F73" w:rsidP="00152FFE">
      <w:pPr>
        <w:rPr>
          <w:rFonts w:ascii="Arial" w:hAnsi="Arial"/>
          <w:szCs w:val="20"/>
          <w:lang w:bidi="ar-SA"/>
        </w:rPr>
      </w:pPr>
    </w:p>
    <w:p w14:paraId="338005D9" w14:textId="0DA6E1AE" w:rsidR="00F8667B" w:rsidRDefault="002C5F73" w:rsidP="00F8667B">
      <w:pPr>
        <w:ind w:firstLine="360"/>
        <w:jc w:val="center"/>
        <w:rPr>
          <w:rFonts w:ascii="Arial" w:hAnsi="Arial"/>
          <w:b/>
          <w:bCs/>
          <w:szCs w:val="20"/>
          <w:lang w:bidi="ar-SA"/>
        </w:rPr>
      </w:pPr>
      <w:r>
        <w:rPr>
          <w:rFonts w:ascii="Arial" w:hAnsi="Arial"/>
          <w:b/>
          <w:bCs/>
          <w:szCs w:val="20"/>
          <w:lang w:bidi="ar-SA"/>
        </w:rPr>
        <w:t xml:space="preserve">Nominal Agreement </w:t>
      </w:r>
    </w:p>
    <w:p w14:paraId="6F07794D" w14:textId="556F33C6" w:rsidR="002C5F73" w:rsidRDefault="002C5F73" w:rsidP="002C5F73">
      <w:pPr>
        <w:rPr>
          <w:rFonts w:ascii="Arial" w:hAnsi="Arial"/>
          <w:b/>
          <w:bCs/>
          <w:szCs w:val="20"/>
          <w:lang w:bidi="ar-SA"/>
        </w:rPr>
      </w:pPr>
    </w:p>
    <w:p w14:paraId="1061A030" w14:textId="65039BEA" w:rsidR="00533B4C" w:rsidRDefault="00343BEC" w:rsidP="003522A9">
      <w:pPr>
        <w:rPr>
          <w:rFonts w:ascii="Arial" w:hAnsi="Arial" w:cs="Arial"/>
        </w:rPr>
      </w:pPr>
      <w:r>
        <w:rPr>
          <w:rFonts w:ascii="Arial" w:hAnsi="Arial"/>
          <w:szCs w:val="20"/>
          <w:lang w:bidi="ar-SA"/>
        </w:rPr>
        <w:t xml:space="preserve">The first way of obtaining values of nominal agreement is to use </w:t>
      </w:r>
      <w:proofErr w:type="spellStart"/>
      <w:r w:rsidR="00F61FA7" w:rsidRPr="002B2E74">
        <w:rPr>
          <w:rFonts w:ascii="Arial" w:hAnsi="Arial"/>
          <w:b/>
          <w:bCs/>
          <w:szCs w:val="20"/>
          <w:lang w:bidi="ar-SA"/>
        </w:rPr>
        <w:t>proc</w:t>
      </w:r>
      <w:proofErr w:type="spellEnd"/>
      <w:r w:rsidR="00F61FA7" w:rsidRPr="002B2E74">
        <w:rPr>
          <w:rFonts w:ascii="Arial" w:hAnsi="Arial"/>
          <w:b/>
          <w:bCs/>
          <w:szCs w:val="20"/>
          <w:lang w:bidi="ar-SA"/>
        </w:rPr>
        <w:t xml:space="preserve"> </w:t>
      </w:r>
      <w:proofErr w:type="spellStart"/>
      <w:r w:rsidR="00F61FA7" w:rsidRPr="002B2E74">
        <w:rPr>
          <w:rFonts w:ascii="Arial" w:hAnsi="Arial"/>
          <w:b/>
          <w:bCs/>
          <w:szCs w:val="20"/>
          <w:lang w:bidi="ar-SA"/>
        </w:rPr>
        <w:t>freq</w:t>
      </w:r>
      <w:proofErr w:type="spellEnd"/>
      <w:r w:rsidR="002C5F73">
        <w:rPr>
          <w:rFonts w:ascii="Arial" w:hAnsi="Arial"/>
          <w:szCs w:val="20"/>
          <w:lang w:bidi="ar-SA"/>
        </w:rPr>
        <w:t xml:space="preserve"> </w:t>
      </w:r>
      <w:r>
        <w:rPr>
          <w:rFonts w:ascii="Arial" w:hAnsi="Arial"/>
          <w:szCs w:val="20"/>
          <w:lang w:bidi="ar-SA"/>
        </w:rPr>
        <w:t>to obtain the necessary table</w:t>
      </w:r>
      <w:r w:rsidR="001C5963">
        <w:rPr>
          <w:rFonts w:ascii="Arial" w:hAnsi="Arial"/>
          <w:szCs w:val="20"/>
          <w:lang w:bidi="ar-SA"/>
        </w:rPr>
        <w:t xml:space="preserve"> using the basic syntax below. O</w:t>
      </w:r>
      <w:r w:rsidR="00052BD0">
        <w:rPr>
          <w:rFonts w:ascii="Arial" w:hAnsi="Arial" w:cs="Arial"/>
        </w:rPr>
        <w:t>nly two variables at a time can be analyzed. Here, I have chosen to assess the agreement between raters 1 and 2.</w:t>
      </w:r>
    </w:p>
    <w:p w14:paraId="646052CF" w14:textId="5E55AE0F" w:rsidR="00BD2C31" w:rsidRDefault="00BD2C31" w:rsidP="003522A9">
      <w:pPr>
        <w:rPr>
          <w:rFonts w:ascii="Arial" w:hAnsi="Arial" w:cs="Arial"/>
        </w:rPr>
      </w:pPr>
    </w:p>
    <w:p w14:paraId="18034DA5" w14:textId="2B9D3080" w:rsidR="00BD2C31" w:rsidRPr="00BD2C31" w:rsidRDefault="00BD2C31" w:rsidP="003522A9">
      <w:pPr>
        <w:rPr>
          <w:rFonts w:ascii="Arial" w:hAnsi="Arial" w:cs="Arial"/>
          <w:b/>
          <w:bCs/>
          <w:i/>
          <w:iCs/>
        </w:rPr>
      </w:pPr>
      <w:r w:rsidRPr="00BD2C31">
        <w:rPr>
          <w:rFonts w:ascii="Arial" w:hAnsi="Arial" w:cs="Arial"/>
          <w:b/>
          <w:bCs/>
          <w:i/>
          <w:iCs/>
        </w:rPr>
        <w:t xml:space="preserve">Calculating agreement using </w:t>
      </w:r>
      <w:proofErr w:type="spellStart"/>
      <w:r w:rsidRPr="00BD2C31">
        <w:rPr>
          <w:rFonts w:ascii="Arial" w:hAnsi="Arial" w:cs="Arial"/>
          <w:b/>
          <w:bCs/>
          <w:i/>
          <w:iCs/>
        </w:rPr>
        <w:t>proc</w:t>
      </w:r>
      <w:proofErr w:type="spellEnd"/>
      <w:r w:rsidRPr="00BD2C31">
        <w:rPr>
          <w:rFonts w:ascii="Arial" w:hAnsi="Arial" w:cs="Arial"/>
          <w:b/>
          <w:bCs/>
          <w:i/>
          <w:iCs/>
        </w:rPr>
        <w:t xml:space="preserve"> </w:t>
      </w:r>
      <w:proofErr w:type="spellStart"/>
      <w:r w:rsidRPr="00BD2C31">
        <w:rPr>
          <w:rFonts w:ascii="Arial" w:hAnsi="Arial" w:cs="Arial"/>
          <w:b/>
          <w:bCs/>
          <w:i/>
          <w:iCs/>
        </w:rPr>
        <w:t>freq</w:t>
      </w:r>
      <w:proofErr w:type="spellEnd"/>
    </w:p>
    <w:p w14:paraId="74E4D1FB" w14:textId="095881B3" w:rsidR="00052BD0" w:rsidRPr="001C5963" w:rsidRDefault="00052BD0" w:rsidP="003522A9">
      <w:pPr>
        <w:rPr>
          <w:rFonts w:ascii="Arial" w:hAnsi="Arial" w:cs="Arial"/>
          <w:b/>
        </w:rPr>
      </w:pPr>
    </w:p>
    <w:p w14:paraId="0C4750BA" w14:textId="77777777" w:rsidR="00F61FA7" w:rsidRPr="00F61FA7" w:rsidRDefault="00F61FA7" w:rsidP="00F61FA7">
      <w:pPr>
        <w:rPr>
          <w:rFonts w:ascii="Arial" w:hAnsi="Arial" w:cs="Arial"/>
          <w:b/>
        </w:rPr>
      </w:pPr>
      <w:proofErr w:type="spellStart"/>
      <w:r w:rsidRPr="00F61FA7">
        <w:rPr>
          <w:rFonts w:ascii="Arial" w:hAnsi="Arial" w:cs="Arial"/>
          <w:b/>
        </w:rPr>
        <w:t>proc</w:t>
      </w:r>
      <w:proofErr w:type="spellEnd"/>
      <w:r w:rsidRPr="00F61FA7">
        <w:rPr>
          <w:rFonts w:ascii="Arial" w:hAnsi="Arial" w:cs="Arial"/>
          <w:b/>
        </w:rPr>
        <w:t xml:space="preserve"> </w:t>
      </w:r>
      <w:proofErr w:type="spellStart"/>
      <w:r w:rsidRPr="00F61FA7">
        <w:rPr>
          <w:rFonts w:ascii="Arial" w:hAnsi="Arial" w:cs="Arial"/>
          <w:b/>
        </w:rPr>
        <w:t>freq</w:t>
      </w:r>
      <w:proofErr w:type="spellEnd"/>
      <w:r w:rsidRPr="00F61FA7">
        <w:rPr>
          <w:rFonts w:ascii="Arial" w:hAnsi="Arial" w:cs="Arial"/>
          <w:b/>
        </w:rPr>
        <w:t xml:space="preserve"> data = </w:t>
      </w:r>
      <w:r w:rsidRPr="00BD2C31">
        <w:rPr>
          <w:rFonts w:ascii="Arial" w:hAnsi="Arial" w:cs="Arial"/>
          <w:bCs/>
        </w:rPr>
        <w:t>rater</w:t>
      </w:r>
      <w:r w:rsidRPr="00F61FA7">
        <w:rPr>
          <w:rFonts w:ascii="Arial" w:hAnsi="Arial" w:cs="Arial"/>
          <w:b/>
        </w:rPr>
        <w:t>;</w:t>
      </w:r>
    </w:p>
    <w:p w14:paraId="26F09EC7" w14:textId="68CBBD68" w:rsidR="00F61FA7" w:rsidRPr="00F61FA7" w:rsidRDefault="00F61FA7" w:rsidP="00F61FA7">
      <w:pPr>
        <w:rPr>
          <w:rFonts w:ascii="Arial" w:hAnsi="Arial" w:cs="Arial"/>
          <w:b/>
        </w:rPr>
      </w:pPr>
      <w:r w:rsidRPr="00F61FA7">
        <w:rPr>
          <w:rFonts w:ascii="Arial" w:hAnsi="Arial" w:cs="Arial"/>
          <w:b/>
        </w:rPr>
        <w:t xml:space="preserve"> </w:t>
      </w:r>
      <w:r>
        <w:rPr>
          <w:rFonts w:ascii="Arial" w:hAnsi="Arial" w:cs="Arial"/>
          <w:b/>
        </w:rPr>
        <w:t xml:space="preserve">  </w:t>
      </w:r>
      <w:r w:rsidRPr="00F61FA7">
        <w:rPr>
          <w:rFonts w:ascii="Arial" w:hAnsi="Arial" w:cs="Arial"/>
          <w:b/>
        </w:rPr>
        <w:t xml:space="preserve">tables </w:t>
      </w:r>
      <w:proofErr w:type="spellStart"/>
      <w:r w:rsidRPr="00BD2C31">
        <w:rPr>
          <w:rFonts w:ascii="Arial" w:hAnsi="Arial" w:cs="Arial"/>
          <w:bCs/>
        </w:rPr>
        <w:t>rater1</w:t>
      </w:r>
      <w:proofErr w:type="spellEnd"/>
      <w:r w:rsidRPr="00BD2C31">
        <w:rPr>
          <w:rFonts w:ascii="Arial" w:hAnsi="Arial" w:cs="Arial"/>
          <w:bCs/>
        </w:rPr>
        <w:t xml:space="preserve"> * </w:t>
      </w:r>
      <w:proofErr w:type="spellStart"/>
      <w:r w:rsidRPr="00BD2C31">
        <w:rPr>
          <w:rFonts w:ascii="Arial" w:hAnsi="Arial" w:cs="Arial"/>
          <w:bCs/>
        </w:rPr>
        <w:t>rater2</w:t>
      </w:r>
      <w:proofErr w:type="spellEnd"/>
      <w:r w:rsidRPr="00F61FA7">
        <w:rPr>
          <w:rFonts w:ascii="Arial" w:hAnsi="Arial" w:cs="Arial"/>
          <w:b/>
        </w:rPr>
        <w:t>/</w:t>
      </w:r>
      <w:proofErr w:type="spellStart"/>
      <w:r w:rsidRPr="00F61FA7">
        <w:rPr>
          <w:rFonts w:ascii="Arial" w:hAnsi="Arial" w:cs="Arial"/>
          <w:b/>
        </w:rPr>
        <w:t>nopercent</w:t>
      </w:r>
      <w:proofErr w:type="spellEnd"/>
      <w:r w:rsidRPr="00F61FA7">
        <w:rPr>
          <w:rFonts w:ascii="Arial" w:hAnsi="Arial" w:cs="Arial"/>
          <w:b/>
        </w:rPr>
        <w:t xml:space="preserve"> </w:t>
      </w:r>
      <w:proofErr w:type="spellStart"/>
      <w:r w:rsidRPr="00F61FA7">
        <w:rPr>
          <w:rFonts w:ascii="Arial" w:hAnsi="Arial" w:cs="Arial"/>
          <w:b/>
        </w:rPr>
        <w:t>nocol</w:t>
      </w:r>
      <w:proofErr w:type="spellEnd"/>
      <w:r w:rsidRPr="00F61FA7">
        <w:rPr>
          <w:rFonts w:ascii="Arial" w:hAnsi="Arial" w:cs="Arial"/>
          <w:b/>
        </w:rPr>
        <w:t xml:space="preserve"> </w:t>
      </w:r>
      <w:proofErr w:type="spellStart"/>
      <w:r w:rsidRPr="00F61FA7">
        <w:rPr>
          <w:rFonts w:ascii="Arial" w:hAnsi="Arial" w:cs="Arial"/>
          <w:b/>
        </w:rPr>
        <w:t>norow</w:t>
      </w:r>
      <w:proofErr w:type="spellEnd"/>
      <w:r w:rsidRPr="00F61FA7">
        <w:rPr>
          <w:rFonts w:ascii="Arial" w:hAnsi="Arial" w:cs="Arial"/>
          <w:b/>
        </w:rPr>
        <w:t>;</w:t>
      </w:r>
    </w:p>
    <w:p w14:paraId="004D9A6E" w14:textId="65813A41" w:rsidR="001C5963" w:rsidRDefault="00F61FA7" w:rsidP="00F61FA7">
      <w:pPr>
        <w:rPr>
          <w:rFonts w:ascii="Arial" w:hAnsi="Arial" w:cs="Arial"/>
          <w:b/>
        </w:rPr>
      </w:pPr>
      <w:r w:rsidRPr="00F61FA7">
        <w:rPr>
          <w:rFonts w:ascii="Arial" w:hAnsi="Arial" w:cs="Arial"/>
          <w:b/>
        </w:rPr>
        <w:t xml:space="preserve"> </w:t>
      </w:r>
      <w:r>
        <w:rPr>
          <w:rFonts w:ascii="Arial" w:hAnsi="Arial" w:cs="Arial"/>
          <w:b/>
        </w:rPr>
        <w:t xml:space="preserve">  </w:t>
      </w:r>
      <w:r w:rsidRPr="00F61FA7">
        <w:rPr>
          <w:rFonts w:ascii="Arial" w:hAnsi="Arial" w:cs="Arial"/>
          <w:b/>
        </w:rPr>
        <w:t>run;</w:t>
      </w:r>
    </w:p>
    <w:p w14:paraId="4F27EF47" w14:textId="4A134B76" w:rsidR="00F61FA7" w:rsidRDefault="00F61FA7" w:rsidP="00F61FA7">
      <w:pPr>
        <w:rPr>
          <w:rFonts w:ascii="Arial" w:hAnsi="Arial" w:cs="Arial"/>
          <w:b/>
        </w:rPr>
      </w:pPr>
    </w:p>
    <w:p w14:paraId="6142D172" w14:textId="4851F2C9" w:rsidR="00F61FA7" w:rsidRDefault="00F61FA7" w:rsidP="00F61FA7">
      <w:pPr>
        <w:rPr>
          <w:rFonts w:ascii="Arial" w:hAnsi="Arial" w:cs="Arial"/>
        </w:rPr>
      </w:pPr>
      <w:r>
        <w:rPr>
          <w:rFonts w:ascii="Arial" w:hAnsi="Arial" w:cs="Arial"/>
        </w:rPr>
        <w:t xml:space="preserve">The options </w:t>
      </w:r>
      <w:proofErr w:type="spellStart"/>
      <w:r w:rsidRPr="00BD2C31">
        <w:rPr>
          <w:rFonts w:ascii="Arial" w:hAnsi="Arial" w:cs="Arial"/>
          <w:b/>
          <w:bCs/>
          <w:iCs/>
        </w:rPr>
        <w:t>nopercent</w:t>
      </w:r>
      <w:proofErr w:type="spellEnd"/>
      <w:r w:rsidRPr="00BD2C31">
        <w:rPr>
          <w:rFonts w:ascii="Arial" w:hAnsi="Arial" w:cs="Arial"/>
          <w:b/>
          <w:bCs/>
          <w:iCs/>
        </w:rPr>
        <w:t xml:space="preserve">, </w:t>
      </w:r>
      <w:proofErr w:type="spellStart"/>
      <w:r w:rsidRPr="00BD2C31">
        <w:rPr>
          <w:rFonts w:ascii="Arial" w:hAnsi="Arial" w:cs="Arial"/>
          <w:b/>
          <w:bCs/>
          <w:iCs/>
        </w:rPr>
        <w:t>nocol</w:t>
      </w:r>
      <w:proofErr w:type="spellEnd"/>
      <w:r w:rsidRPr="00BD2C31">
        <w:rPr>
          <w:rFonts w:ascii="Arial" w:hAnsi="Arial" w:cs="Arial"/>
          <w:b/>
          <w:bCs/>
          <w:iCs/>
        </w:rPr>
        <w:t xml:space="preserve">, and </w:t>
      </w:r>
      <w:proofErr w:type="spellStart"/>
      <w:r w:rsidRPr="00BD2C31">
        <w:rPr>
          <w:rFonts w:ascii="Arial" w:hAnsi="Arial" w:cs="Arial"/>
          <w:b/>
          <w:bCs/>
          <w:iCs/>
        </w:rPr>
        <w:t>norow</w:t>
      </w:r>
      <w:proofErr w:type="spellEnd"/>
      <w:r>
        <w:rPr>
          <w:rFonts w:ascii="Arial" w:hAnsi="Arial" w:cs="Arial"/>
        </w:rPr>
        <w:t xml:space="preserve"> suppress the printing of overall, column, and row percentages in the output table.</w:t>
      </w:r>
    </w:p>
    <w:p w14:paraId="0ADBF25F" w14:textId="77777777" w:rsidR="00F61FA7" w:rsidRPr="00F61FA7" w:rsidRDefault="00F61FA7" w:rsidP="00F61FA7">
      <w:pPr>
        <w:rPr>
          <w:rFonts w:ascii="Arial" w:hAnsi="Arial" w:cs="Arial"/>
        </w:rPr>
      </w:pPr>
    </w:p>
    <w:p w14:paraId="6490EA0C" w14:textId="76A4ADC3" w:rsidR="00052BD0" w:rsidRDefault="00F61FA7" w:rsidP="00052BD0">
      <w:pPr>
        <w:rPr>
          <w:rFonts w:ascii="Arial" w:hAnsi="Arial" w:cs="Arial"/>
        </w:rPr>
      </w:pPr>
      <w:r>
        <w:rPr>
          <w:rFonts w:ascii="Arial" w:hAnsi="Arial" w:cs="Arial"/>
        </w:rPr>
        <w:t>The syntax above</w:t>
      </w:r>
      <w:r w:rsidR="001C5963">
        <w:rPr>
          <w:rFonts w:ascii="Arial" w:hAnsi="Arial" w:cs="Arial"/>
        </w:rPr>
        <w:t xml:space="preserve"> will produce the following table.</w:t>
      </w:r>
    </w:p>
    <w:p w14:paraId="26AB1351" w14:textId="77777777" w:rsidR="00F61FA7" w:rsidRDefault="00F61FA7" w:rsidP="00052BD0">
      <w:pPr>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1327"/>
        <w:gridCol w:w="535"/>
        <w:gridCol w:w="535"/>
        <w:gridCol w:w="535"/>
        <w:gridCol w:w="535"/>
        <w:gridCol w:w="535"/>
        <w:gridCol w:w="740"/>
      </w:tblGrid>
      <w:tr w:rsidR="00F61FA7" w14:paraId="5B95D4FD" w14:textId="77777777" w:rsidTr="00F61FA7">
        <w:trPr>
          <w:cantSplit/>
          <w:trHeight w:val="285"/>
          <w:tblHeader/>
          <w:jc w:val="center"/>
        </w:trPr>
        <w:tc>
          <w:tcPr>
            <w:tcW w:w="4742" w:type="dxa"/>
            <w:gridSpan w:val="7"/>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30F25439" w14:textId="77777777" w:rsidR="00F61FA7" w:rsidRDefault="00F61FA7" w:rsidP="00D25742">
            <w:pPr>
              <w:keepNext/>
              <w:adjustRightInd w:val="0"/>
              <w:spacing w:before="60" w:after="60"/>
              <w:jc w:val="center"/>
              <w:rPr>
                <w:b/>
                <w:bCs/>
                <w:color w:val="000000"/>
                <w:sz w:val="22"/>
                <w:szCs w:val="22"/>
              </w:rPr>
            </w:pPr>
            <w:bookmarkStart w:id="1" w:name="IDX"/>
            <w:bookmarkEnd w:id="1"/>
            <w:r>
              <w:rPr>
                <w:b/>
                <w:bCs/>
                <w:color w:val="000000"/>
                <w:sz w:val="22"/>
                <w:szCs w:val="22"/>
              </w:rPr>
              <w:lastRenderedPageBreak/>
              <w:t>Table of rater1 by rater2</w:t>
            </w:r>
          </w:p>
        </w:tc>
      </w:tr>
      <w:tr w:rsidR="00F61FA7" w14:paraId="1C5E616A" w14:textId="77777777" w:rsidTr="00F61FA7">
        <w:trPr>
          <w:cantSplit/>
          <w:trHeight w:val="285"/>
          <w:tblHeader/>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vAlign w:val="bottom"/>
          </w:tcPr>
          <w:p w14:paraId="1E18D64A" w14:textId="77777777" w:rsidR="00F61FA7" w:rsidRDefault="00F61FA7" w:rsidP="00D25742">
            <w:pPr>
              <w:keepNext/>
              <w:adjustRightInd w:val="0"/>
              <w:spacing w:before="60" w:after="60"/>
              <w:jc w:val="center"/>
              <w:rPr>
                <w:b/>
                <w:bCs/>
                <w:color w:val="000000"/>
                <w:sz w:val="22"/>
                <w:szCs w:val="22"/>
              </w:rPr>
            </w:pPr>
            <w:r>
              <w:rPr>
                <w:b/>
                <w:bCs/>
                <w:color w:val="000000"/>
                <w:sz w:val="22"/>
                <w:szCs w:val="22"/>
              </w:rPr>
              <w:t>rater1</w:t>
            </w:r>
          </w:p>
        </w:tc>
        <w:tc>
          <w:tcPr>
            <w:tcW w:w="3415" w:type="dxa"/>
            <w:gridSpan w:val="6"/>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39E18955" w14:textId="77777777" w:rsidR="00F61FA7" w:rsidRDefault="00F61FA7" w:rsidP="00D25742">
            <w:pPr>
              <w:keepNext/>
              <w:adjustRightInd w:val="0"/>
              <w:spacing w:before="60" w:after="60"/>
              <w:jc w:val="center"/>
              <w:rPr>
                <w:b/>
                <w:bCs/>
                <w:color w:val="000000"/>
                <w:sz w:val="22"/>
                <w:szCs w:val="22"/>
              </w:rPr>
            </w:pPr>
            <w:r>
              <w:rPr>
                <w:b/>
                <w:bCs/>
                <w:color w:val="000000"/>
                <w:sz w:val="22"/>
                <w:szCs w:val="22"/>
              </w:rPr>
              <w:t>rater2</w:t>
            </w:r>
          </w:p>
        </w:tc>
      </w:tr>
      <w:tr w:rsidR="00F61FA7" w14:paraId="11B82EC3" w14:textId="77777777" w:rsidTr="00F61FA7">
        <w:trPr>
          <w:cantSplit/>
          <w:trHeight w:val="285"/>
          <w:tblHeader/>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6BCBE9AF" w14:textId="77777777" w:rsidR="00F61FA7" w:rsidRDefault="00F61FA7" w:rsidP="00D25742">
            <w:pPr>
              <w:keepNext/>
              <w:adjustRightInd w:val="0"/>
              <w:spacing w:before="60" w:after="60"/>
              <w:rPr>
                <w:b/>
                <w:bCs/>
                <w:color w:val="000000"/>
                <w:sz w:val="22"/>
                <w:szCs w:val="22"/>
              </w:rPr>
            </w:pPr>
            <w:r>
              <w:rPr>
                <w:b/>
                <w:bCs/>
                <w:color w:val="000000"/>
                <w:sz w:val="22"/>
                <w:szCs w:val="22"/>
              </w:rPr>
              <w:t>Frequency</w:t>
            </w:r>
          </w:p>
        </w:tc>
        <w:tc>
          <w:tcPr>
            <w:tcW w:w="535" w:type="dxa"/>
            <w:tcBorders>
              <w:top w:val="nil"/>
              <w:left w:val="single" w:sz="2" w:space="0" w:color="000000"/>
              <w:bottom w:val="single" w:sz="2" w:space="0" w:color="000000"/>
              <w:right w:val="nil"/>
            </w:tcBorders>
            <w:shd w:val="clear" w:color="auto" w:fill="BBBBBB"/>
            <w:tcMar>
              <w:left w:w="60" w:type="dxa"/>
              <w:right w:w="60" w:type="dxa"/>
            </w:tcMar>
            <w:vAlign w:val="bottom"/>
          </w:tcPr>
          <w:p w14:paraId="08D0D809"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1</w:t>
            </w:r>
          </w:p>
        </w:tc>
        <w:tc>
          <w:tcPr>
            <w:tcW w:w="535" w:type="dxa"/>
            <w:tcBorders>
              <w:top w:val="nil"/>
              <w:left w:val="single" w:sz="2" w:space="0" w:color="000000"/>
              <w:bottom w:val="single" w:sz="2" w:space="0" w:color="000000"/>
              <w:right w:val="nil"/>
            </w:tcBorders>
            <w:shd w:val="clear" w:color="auto" w:fill="BBBBBB"/>
            <w:tcMar>
              <w:left w:w="60" w:type="dxa"/>
              <w:right w:w="60" w:type="dxa"/>
            </w:tcMar>
            <w:vAlign w:val="bottom"/>
          </w:tcPr>
          <w:p w14:paraId="4EFC95AE"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2</w:t>
            </w:r>
          </w:p>
        </w:tc>
        <w:tc>
          <w:tcPr>
            <w:tcW w:w="535" w:type="dxa"/>
            <w:tcBorders>
              <w:top w:val="nil"/>
              <w:left w:val="single" w:sz="2" w:space="0" w:color="000000"/>
              <w:bottom w:val="single" w:sz="2" w:space="0" w:color="000000"/>
              <w:right w:val="nil"/>
            </w:tcBorders>
            <w:shd w:val="clear" w:color="auto" w:fill="BBBBBB"/>
            <w:tcMar>
              <w:left w:w="60" w:type="dxa"/>
              <w:right w:w="60" w:type="dxa"/>
            </w:tcMar>
            <w:vAlign w:val="bottom"/>
          </w:tcPr>
          <w:p w14:paraId="4B0707D5"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3</w:t>
            </w:r>
          </w:p>
        </w:tc>
        <w:tc>
          <w:tcPr>
            <w:tcW w:w="535" w:type="dxa"/>
            <w:tcBorders>
              <w:top w:val="nil"/>
              <w:left w:val="single" w:sz="2" w:space="0" w:color="000000"/>
              <w:bottom w:val="single" w:sz="2" w:space="0" w:color="000000"/>
              <w:right w:val="nil"/>
            </w:tcBorders>
            <w:shd w:val="clear" w:color="auto" w:fill="BBBBBB"/>
            <w:tcMar>
              <w:left w:w="60" w:type="dxa"/>
              <w:right w:w="60" w:type="dxa"/>
            </w:tcMar>
            <w:vAlign w:val="bottom"/>
          </w:tcPr>
          <w:p w14:paraId="67C44520"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4</w:t>
            </w:r>
          </w:p>
        </w:tc>
        <w:tc>
          <w:tcPr>
            <w:tcW w:w="535" w:type="dxa"/>
            <w:tcBorders>
              <w:top w:val="nil"/>
              <w:left w:val="single" w:sz="2" w:space="0" w:color="000000"/>
              <w:bottom w:val="single" w:sz="2" w:space="0" w:color="000000"/>
              <w:right w:val="nil"/>
            </w:tcBorders>
            <w:shd w:val="clear" w:color="auto" w:fill="BBBBBB"/>
            <w:tcMar>
              <w:left w:w="60" w:type="dxa"/>
              <w:right w:w="60" w:type="dxa"/>
            </w:tcMar>
            <w:vAlign w:val="bottom"/>
          </w:tcPr>
          <w:p w14:paraId="6F9CD927"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5</w:t>
            </w:r>
          </w:p>
        </w:tc>
        <w:tc>
          <w:tcPr>
            <w:tcW w:w="740"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6F43A906"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Total</w:t>
            </w:r>
          </w:p>
        </w:tc>
      </w:tr>
      <w:tr w:rsidR="00F61FA7" w14:paraId="160FA336" w14:textId="77777777" w:rsidTr="00F61FA7">
        <w:trPr>
          <w:cantSplit/>
          <w:trHeight w:val="305"/>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61E6B1C0"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6A3DF474" w14:textId="77777777" w:rsidR="00F61FA7" w:rsidRDefault="00F61FA7" w:rsidP="00D25742">
            <w:pPr>
              <w:keepNext/>
              <w:adjustRightInd w:val="0"/>
              <w:spacing w:before="60" w:after="60"/>
              <w:jc w:val="right"/>
              <w:rPr>
                <w:color w:val="000000"/>
              </w:rPr>
            </w:pPr>
            <w:r w:rsidRPr="00F61FA7">
              <w:rPr>
                <w:color w:val="000000"/>
                <w:highlight w:val="yellow"/>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65D800F2"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2AA938F4"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38FAB7D7"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056B8CB9" w14:textId="77777777" w:rsidR="00F61FA7" w:rsidRDefault="00F61FA7" w:rsidP="00D25742">
            <w:pPr>
              <w:keepNext/>
              <w:adjustRightInd w:val="0"/>
              <w:spacing w:before="60" w:after="60"/>
              <w:jc w:val="right"/>
              <w:rPr>
                <w:color w:val="000000"/>
              </w:rPr>
            </w:pPr>
            <w:r>
              <w:rPr>
                <w:color w:val="000000"/>
              </w:rPr>
              <w:t>0</w:t>
            </w:r>
          </w:p>
        </w:tc>
        <w:tc>
          <w:tcPr>
            <w:tcW w:w="74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A0251FA" w14:textId="77777777" w:rsidR="00F61FA7" w:rsidRDefault="00F61FA7" w:rsidP="00D25742">
            <w:pPr>
              <w:keepNext/>
              <w:adjustRightInd w:val="0"/>
              <w:spacing w:before="60" w:after="60"/>
              <w:jc w:val="right"/>
              <w:rPr>
                <w:color w:val="000000"/>
              </w:rPr>
            </w:pPr>
            <w:r>
              <w:rPr>
                <w:color w:val="000000"/>
              </w:rPr>
              <w:t>1</w:t>
            </w:r>
          </w:p>
        </w:tc>
      </w:tr>
      <w:tr w:rsidR="00F61FA7" w14:paraId="649FC513" w14:textId="77777777" w:rsidTr="00F61FA7">
        <w:trPr>
          <w:cantSplit/>
          <w:trHeight w:val="305"/>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70F51BB7"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2</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0635382A" w14:textId="77777777" w:rsidR="00F61FA7" w:rsidRDefault="00F61FA7" w:rsidP="00D25742">
            <w:pPr>
              <w:keepNext/>
              <w:adjustRightInd w:val="0"/>
              <w:spacing w:before="60" w:after="60"/>
              <w:jc w:val="right"/>
              <w:rPr>
                <w:color w:val="000000"/>
              </w:rPr>
            </w:pPr>
            <w:r>
              <w:rPr>
                <w:color w:val="000000"/>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42B86053" w14:textId="77777777" w:rsidR="00F61FA7" w:rsidRPr="00F61FA7" w:rsidRDefault="00F61FA7" w:rsidP="00D25742">
            <w:pPr>
              <w:keepNext/>
              <w:adjustRightInd w:val="0"/>
              <w:spacing w:before="60" w:after="60"/>
              <w:jc w:val="right"/>
              <w:rPr>
                <w:color w:val="000000"/>
                <w:highlight w:val="yellow"/>
              </w:rPr>
            </w:pPr>
            <w:r w:rsidRPr="00F61FA7">
              <w:rPr>
                <w:color w:val="000000"/>
                <w:highlight w:val="yellow"/>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36542B6A"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5612647D"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1AA5E73B" w14:textId="77777777" w:rsidR="00F61FA7" w:rsidRDefault="00F61FA7" w:rsidP="00D25742">
            <w:pPr>
              <w:keepNext/>
              <w:adjustRightInd w:val="0"/>
              <w:spacing w:before="60" w:after="60"/>
              <w:jc w:val="right"/>
              <w:rPr>
                <w:color w:val="000000"/>
              </w:rPr>
            </w:pPr>
            <w:r>
              <w:rPr>
                <w:color w:val="000000"/>
              </w:rPr>
              <w:t>0</w:t>
            </w:r>
          </w:p>
        </w:tc>
        <w:tc>
          <w:tcPr>
            <w:tcW w:w="74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9A47169" w14:textId="77777777" w:rsidR="00F61FA7" w:rsidRDefault="00F61FA7" w:rsidP="00D25742">
            <w:pPr>
              <w:keepNext/>
              <w:adjustRightInd w:val="0"/>
              <w:spacing w:before="60" w:after="60"/>
              <w:jc w:val="right"/>
              <w:rPr>
                <w:color w:val="000000"/>
              </w:rPr>
            </w:pPr>
            <w:r>
              <w:rPr>
                <w:color w:val="000000"/>
              </w:rPr>
              <w:t>2</w:t>
            </w:r>
          </w:p>
        </w:tc>
      </w:tr>
      <w:tr w:rsidR="00F61FA7" w14:paraId="62AD52FE" w14:textId="77777777" w:rsidTr="00F61FA7">
        <w:trPr>
          <w:cantSplit/>
          <w:trHeight w:val="305"/>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60585460"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3</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37A9C4FC"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06F6D6C9" w14:textId="77777777" w:rsidR="00F61FA7" w:rsidRDefault="00F61FA7" w:rsidP="00D25742">
            <w:pPr>
              <w:keepNext/>
              <w:adjustRightInd w:val="0"/>
              <w:spacing w:before="60" w:after="60"/>
              <w:jc w:val="right"/>
              <w:rPr>
                <w:color w:val="000000"/>
              </w:rPr>
            </w:pPr>
            <w:r>
              <w:rPr>
                <w:color w:val="000000"/>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469A8B53" w14:textId="77777777" w:rsidR="00F61FA7" w:rsidRDefault="00F61FA7" w:rsidP="00D25742">
            <w:pPr>
              <w:keepNext/>
              <w:adjustRightInd w:val="0"/>
              <w:spacing w:before="60" w:after="60"/>
              <w:jc w:val="right"/>
              <w:rPr>
                <w:color w:val="000000"/>
              </w:rPr>
            </w:pPr>
            <w:r w:rsidRPr="00F61FA7">
              <w:rPr>
                <w:color w:val="000000"/>
                <w:highlight w:val="yellow"/>
              </w:rPr>
              <w:t>2</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31DFD2BC"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72A43921" w14:textId="77777777" w:rsidR="00F61FA7" w:rsidRDefault="00F61FA7" w:rsidP="00D25742">
            <w:pPr>
              <w:keepNext/>
              <w:adjustRightInd w:val="0"/>
              <w:spacing w:before="60" w:after="60"/>
              <w:jc w:val="right"/>
              <w:rPr>
                <w:color w:val="000000"/>
              </w:rPr>
            </w:pPr>
            <w:r>
              <w:rPr>
                <w:color w:val="000000"/>
              </w:rPr>
              <w:t>0</w:t>
            </w:r>
          </w:p>
        </w:tc>
        <w:tc>
          <w:tcPr>
            <w:tcW w:w="74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130A818" w14:textId="77777777" w:rsidR="00F61FA7" w:rsidRDefault="00F61FA7" w:rsidP="00D25742">
            <w:pPr>
              <w:keepNext/>
              <w:adjustRightInd w:val="0"/>
              <w:spacing w:before="60" w:after="60"/>
              <w:jc w:val="right"/>
              <w:rPr>
                <w:color w:val="000000"/>
              </w:rPr>
            </w:pPr>
            <w:r>
              <w:rPr>
                <w:color w:val="000000"/>
              </w:rPr>
              <w:t>3</w:t>
            </w:r>
          </w:p>
        </w:tc>
      </w:tr>
      <w:tr w:rsidR="00F61FA7" w14:paraId="09AA8B1C" w14:textId="77777777" w:rsidTr="00F61FA7">
        <w:trPr>
          <w:cantSplit/>
          <w:trHeight w:val="305"/>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2E55D5E8"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4</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2DFBF3E2"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35C7ED55"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51E8B39D" w14:textId="77777777" w:rsidR="00F61FA7" w:rsidRDefault="00F61FA7" w:rsidP="00D25742">
            <w:pPr>
              <w:keepNext/>
              <w:adjustRightInd w:val="0"/>
              <w:spacing w:before="60" w:after="60"/>
              <w:jc w:val="right"/>
              <w:rPr>
                <w:color w:val="000000"/>
              </w:rPr>
            </w:pPr>
            <w:r>
              <w:rPr>
                <w:color w:val="000000"/>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673F70CA" w14:textId="77777777" w:rsidR="00F61FA7" w:rsidRDefault="00F61FA7" w:rsidP="00D25742">
            <w:pPr>
              <w:keepNext/>
              <w:adjustRightInd w:val="0"/>
              <w:spacing w:before="60" w:after="60"/>
              <w:jc w:val="right"/>
              <w:rPr>
                <w:color w:val="000000"/>
              </w:rPr>
            </w:pPr>
            <w:r w:rsidRPr="00F61FA7">
              <w:rPr>
                <w:color w:val="000000"/>
                <w:highlight w:val="yellow"/>
              </w:rPr>
              <w:t>1</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07D6DEA9" w14:textId="77777777" w:rsidR="00F61FA7" w:rsidRDefault="00F61FA7" w:rsidP="00D25742">
            <w:pPr>
              <w:keepNext/>
              <w:adjustRightInd w:val="0"/>
              <w:spacing w:before="60" w:after="60"/>
              <w:jc w:val="right"/>
              <w:rPr>
                <w:color w:val="000000"/>
              </w:rPr>
            </w:pPr>
            <w:r>
              <w:rPr>
                <w:color w:val="000000"/>
              </w:rPr>
              <w:t>0</w:t>
            </w:r>
          </w:p>
        </w:tc>
        <w:tc>
          <w:tcPr>
            <w:tcW w:w="74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928B4BD" w14:textId="77777777" w:rsidR="00F61FA7" w:rsidRDefault="00F61FA7" w:rsidP="00D25742">
            <w:pPr>
              <w:keepNext/>
              <w:adjustRightInd w:val="0"/>
              <w:spacing w:before="60" w:after="60"/>
              <w:jc w:val="right"/>
              <w:rPr>
                <w:color w:val="000000"/>
              </w:rPr>
            </w:pPr>
            <w:r>
              <w:rPr>
                <w:color w:val="000000"/>
              </w:rPr>
              <w:t>2</w:t>
            </w:r>
          </w:p>
        </w:tc>
      </w:tr>
      <w:tr w:rsidR="00F61FA7" w14:paraId="17014664" w14:textId="77777777" w:rsidTr="00F61FA7">
        <w:trPr>
          <w:cantSplit/>
          <w:trHeight w:val="305"/>
          <w:jc w:val="center"/>
        </w:trPr>
        <w:tc>
          <w:tcPr>
            <w:tcW w:w="1327" w:type="dxa"/>
            <w:tcBorders>
              <w:top w:val="nil"/>
              <w:left w:val="single" w:sz="6" w:space="0" w:color="000000"/>
              <w:bottom w:val="single" w:sz="2" w:space="0" w:color="000000"/>
              <w:right w:val="nil"/>
            </w:tcBorders>
            <w:shd w:val="clear" w:color="auto" w:fill="BBBBBB"/>
            <w:tcMar>
              <w:left w:w="60" w:type="dxa"/>
              <w:right w:w="60" w:type="dxa"/>
            </w:tcMar>
          </w:tcPr>
          <w:p w14:paraId="6EA7597B" w14:textId="77777777" w:rsidR="00F61FA7" w:rsidRDefault="00F61FA7" w:rsidP="00D25742">
            <w:pPr>
              <w:keepNext/>
              <w:adjustRightInd w:val="0"/>
              <w:spacing w:before="60" w:after="60"/>
              <w:jc w:val="right"/>
              <w:rPr>
                <w:b/>
                <w:bCs/>
                <w:color w:val="000000"/>
                <w:sz w:val="22"/>
                <w:szCs w:val="22"/>
              </w:rPr>
            </w:pPr>
            <w:r>
              <w:rPr>
                <w:b/>
                <w:bCs/>
                <w:color w:val="000000"/>
                <w:sz w:val="22"/>
                <w:szCs w:val="22"/>
              </w:rPr>
              <w:t>5</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2520B940"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736F7F93"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177E1481"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5AE55421" w14:textId="77777777" w:rsidR="00F61FA7" w:rsidRDefault="00F61FA7" w:rsidP="00D25742">
            <w:pPr>
              <w:keepNext/>
              <w:adjustRightInd w:val="0"/>
              <w:spacing w:before="60" w:after="60"/>
              <w:jc w:val="right"/>
              <w:rPr>
                <w:color w:val="000000"/>
              </w:rPr>
            </w:pPr>
            <w:r>
              <w:rPr>
                <w:color w:val="000000"/>
              </w:rPr>
              <w:t>0</w:t>
            </w:r>
          </w:p>
        </w:tc>
        <w:tc>
          <w:tcPr>
            <w:tcW w:w="535" w:type="dxa"/>
            <w:tcBorders>
              <w:top w:val="nil"/>
              <w:left w:val="single" w:sz="2" w:space="0" w:color="000000"/>
              <w:bottom w:val="single" w:sz="2" w:space="0" w:color="000000"/>
              <w:right w:val="nil"/>
            </w:tcBorders>
            <w:shd w:val="clear" w:color="auto" w:fill="FFFFFF"/>
            <w:tcMar>
              <w:left w:w="60" w:type="dxa"/>
              <w:right w:w="60" w:type="dxa"/>
            </w:tcMar>
          </w:tcPr>
          <w:p w14:paraId="2AD969D4" w14:textId="77777777" w:rsidR="00F61FA7" w:rsidRDefault="00F61FA7" w:rsidP="00D25742">
            <w:pPr>
              <w:keepNext/>
              <w:adjustRightInd w:val="0"/>
              <w:spacing w:before="60" w:after="60"/>
              <w:jc w:val="right"/>
              <w:rPr>
                <w:color w:val="000000"/>
              </w:rPr>
            </w:pPr>
            <w:r w:rsidRPr="00F61FA7">
              <w:rPr>
                <w:color w:val="000000"/>
                <w:highlight w:val="yellow"/>
              </w:rPr>
              <w:t>2</w:t>
            </w:r>
          </w:p>
        </w:tc>
        <w:tc>
          <w:tcPr>
            <w:tcW w:w="74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1BDBCCF" w14:textId="77777777" w:rsidR="00F61FA7" w:rsidRDefault="00F61FA7" w:rsidP="00D25742">
            <w:pPr>
              <w:keepNext/>
              <w:adjustRightInd w:val="0"/>
              <w:spacing w:before="60" w:after="60"/>
              <w:jc w:val="right"/>
              <w:rPr>
                <w:color w:val="000000"/>
              </w:rPr>
            </w:pPr>
            <w:r>
              <w:rPr>
                <w:color w:val="000000"/>
              </w:rPr>
              <w:t>2</w:t>
            </w:r>
          </w:p>
        </w:tc>
      </w:tr>
      <w:tr w:rsidR="00F61FA7" w14:paraId="4B04E9EC" w14:textId="77777777" w:rsidTr="00F61FA7">
        <w:trPr>
          <w:cantSplit/>
          <w:trHeight w:val="314"/>
          <w:jc w:val="center"/>
        </w:trPr>
        <w:tc>
          <w:tcPr>
            <w:tcW w:w="1327" w:type="dxa"/>
            <w:tcBorders>
              <w:top w:val="nil"/>
              <w:left w:val="single" w:sz="6" w:space="0" w:color="000000"/>
              <w:bottom w:val="single" w:sz="6" w:space="0" w:color="000000"/>
              <w:right w:val="nil"/>
            </w:tcBorders>
            <w:shd w:val="clear" w:color="auto" w:fill="BBBBBB"/>
            <w:tcMar>
              <w:left w:w="60" w:type="dxa"/>
              <w:right w:w="60" w:type="dxa"/>
            </w:tcMar>
          </w:tcPr>
          <w:p w14:paraId="26F6211A" w14:textId="77777777" w:rsidR="00F61FA7" w:rsidRDefault="00F61FA7" w:rsidP="00D25742">
            <w:pPr>
              <w:keepNext/>
              <w:adjustRightInd w:val="0"/>
              <w:spacing w:before="60" w:after="60"/>
              <w:rPr>
                <w:b/>
                <w:bCs/>
                <w:color w:val="000000"/>
                <w:sz w:val="22"/>
                <w:szCs w:val="22"/>
              </w:rPr>
            </w:pPr>
            <w:r>
              <w:rPr>
                <w:b/>
                <w:bCs/>
                <w:color w:val="000000"/>
                <w:sz w:val="22"/>
                <w:szCs w:val="22"/>
              </w:rPr>
              <w:t>Total</w:t>
            </w:r>
          </w:p>
        </w:tc>
        <w:tc>
          <w:tcPr>
            <w:tcW w:w="535" w:type="dxa"/>
            <w:tcBorders>
              <w:top w:val="nil"/>
              <w:left w:val="single" w:sz="2" w:space="0" w:color="000000"/>
              <w:bottom w:val="single" w:sz="6" w:space="0" w:color="000000"/>
              <w:right w:val="nil"/>
            </w:tcBorders>
            <w:shd w:val="clear" w:color="auto" w:fill="FFFFFF"/>
            <w:tcMar>
              <w:left w:w="60" w:type="dxa"/>
              <w:right w:w="60" w:type="dxa"/>
            </w:tcMar>
          </w:tcPr>
          <w:p w14:paraId="4B60B3D1" w14:textId="77777777" w:rsidR="00F61FA7" w:rsidRDefault="00F61FA7" w:rsidP="00D25742">
            <w:pPr>
              <w:keepNext/>
              <w:adjustRightInd w:val="0"/>
              <w:spacing w:before="60" w:after="60"/>
              <w:jc w:val="right"/>
              <w:rPr>
                <w:color w:val="000000"/>
              </w:rPr>
            </w:pPr>
            <w:r>
              <w:rPr>
                <w:color w:val="000000"/>
              </w:rPr>
              <w:t>2</w:t>
            </w:r>
          </w:p>
        </w:tc>
        <w:tc>
          <w:tcPr>
            <w:tcW w:w="535" w:type="dxa"/>
            <w:tcBorders>
              <w:top w:val="nil"/>
              <w:left w:val="single" w:sz="2" w:space="0" w:color="000000"/>
              <w:bottom w:val="single" w:sz="6" w:space="0" w:color="000000"/>
              <w:right w:val="nil"/>
            </w:tcBorders>
            <w:shd w:val="clear" w:color="auto" w:fill="FFFFFF"/>
            <w:tcMar>
              <w:left w:w="60" w:type="dxa"/>
              <w:right w:w="60" w:type="dxa"/>
            </w:tcMar>
          </w:tcPr>
          <w:p w14:paraId="57DF3CCE" w14:textId="77777777" w:rsidR="00F61FA7" w:rsidRDefault="00F61FA7" w:rsidP="00D25742">
            <w:pPr>
              <w:keepNext/>
              <w:adjustRightInd w:val="0"/>
              <w:spacing w:before="60" w:after="60"/>
              <w:jc w:val="right"/>
              <w:rPr>
                <w:color w:val="000000"/>
              </w:rPr>
            </w:pPr>
            <w:r>
              <w:rPr>
                <w:color w:val="000000"/>
              </w:rPr>
              <w:t>2</w:t>
            </w:r>
          </w:p>
        </w:tc>
        <w:tc>
          <w:tcPr>
            <w:tcW w:w="535" w:type="dxa"/>
            <w:tcBorders>
              <w:top w:val="nil"/>
              <w:left w:val="single" w:sz="2" w:space="0" w:color="000000"/>
              <w:bottom w:val="single" w:sz="6" w:space="0" w:color="000000"/>
              <w:right w:val="nil"/>
            </w:tcBorders>
            <w:shd w:val="clear" w:color="auto" w:fill="FFFFFF"/>
            <w:tcMar>
              <w:left w:w="60" w:type="dxa"/>
              <w:right w:w="60" w:type="dxa"/>
            </w:tcMar>
          </w:tcPr>
          <w:p w14:paraId="2A2C898C" w14:textId="77777777" w:rsidR="00F61FA7" w:rsidRDefault="00F61FA7" w:rsidP="00D25742">
            <w:pPr>
              <w:keepNext/>
              <w:adjustRightInd w:val="0"/>
              <w:spacing w:before="60" w:after="60"/>
              <w:jc w:val="right"/>
              <w:rPr>
                <w:color w:val="000000"/>
              </w:rPr>
            </w:pPr>
            <w:r>
              <w:rPr>
                <w:color w:val="000000"/>
              </w:rPr>
              <w:t>3</w:t>
            </w:r>
          </w:p>
        </w:tc>
        <w:tc>
          <w:tcPr>
            <w:tcW w:w="535" w:type="dxa"/>
            <w:tcBorders>
              <w:top w:val="nil"/>
              <w:left w:val="single" w:sz="2" w:space="0" w:color="000000"/>
              <w:bottom w:val="single" w:sz="6" w:space="0" w:color="000000"/>
              <w:right w:val="nil"/>
            </w:tcBorders>
            <w:shd w:val="clear" w:color="auto" w:fill="FFFFFF"/>
            <w:tcMar>
              <w:left w:w="60" w:type="dxa"/>
              <w:right w:w="60" w:type="dxa"/>
            </w:tcMar>
          </w:tcPr>
          <w:p w14:paraId="09A58A1E" w14:textId="77777777" w:rsidR="00F61FA7" w:rsidRDefault="00F61FA7" w:rsidP="00D25742">
            <w:pPr>
              <w:keepNext/>
              <w:adjustRightInd w:val="0"/>
              <w:spacing w:before="60" w:after="60"/>
              <w:jc w:val="right"/>
              <w:rPr>
                <w:color w:val="000000"/>
              </w:rPr>
            </w:pPr>
            <w:r>
              <w:rPr>
                <w:color w:val="000000"/>
              </w:rPr>
              <w:t>1</w:t>
            </w:r>
          </w:p>
        </w:tc>
        <w:tc>
          <w:tcPr>
            <w:tcW w:w="535" w:type="dxa"/>
            <w:tcBorders>
              <w:top w:val="nil"/>
              <w:left w:val="single" w:sz="2" w:space="0" w:color="000000"/>
              <w:bottom w:val="single" w:sz="6" w:space="0" w:color="000000"/>
              <w:right w:val="nil"/>
            </w:tcBorders>
            <w:shd w:val="clear" w:color="auto" w:fill="FFFFFF"/>
            <w:tcMar>
              <w:left w:w="60" w:type="dxa"/>
              <w:right w:w="60" w:type="dxa"/>
            </w:tcMar>
          </w:tcPr>
          <w:p w14:paraId="2EB0549A" w14:textId="77777777" w:rsidR="00F61FA7" w:rsidRDefault="00F61FA7" w:rsidP="00D25742">
            <w:pPr>
              <w:keepNext/>
              <w:adjustRightInd w:val="0"/>
              <w:spacing w:before="60" w:after="60"/>
              <w:jc w:val="right"/>
              <w:rPr>
                <w:color w:val="000000"/>
              </w:rPr>
            </w:pPr>
            <w:r>
              <w:rPr>
                <w:color w:val="000000"/>
              </w:rPr>
              <w:t>2</w:t>
            </w:r>
          </w:p>
        </w:tc>
        <w:tc>
          <w:tcPr>
            <w:tcW w:w="74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3DAA5829" w14:textId="77777777" w:rsidR="00F61FA7" w:rsidRDefault="00F61FA7" w:rsidP="00D25742">
            <w:pPr>
              <w:keepNext/>
              <w:adjustRightInd w:val="0"/>
              <w:spacing w:before="60" w:after="60"/>
              <w:jc w:val="right"/>
              <w:rPr>
                <w:color w:val="000000"/>
              </w:rPr>
            </w:pPr>
            <w:r w:rsidRPr="00F61FA7">
              <w:rPr>
                <w:color w:val="000000"/>
                <w:highlight w:val="cyan"/>
              </w:rPr>
              <w:t>10</w:t>
            </w:r>
          </w:p>
        </w:tc>
      </w:tr>
    </w:tbl>
    <w:p w14:paraId="5A9DDF49" w14:textId="77777777" w:rsidR="001C5963" w:rsidRPr="00052BD0" w:rsidRDefault="001C5963" w:rsidP="00052BD0">
      <w:pPr>
        <w:rPr>
          <w:lang w:bidi="ar-SA"/>
        </w:rPr>
      </w:pPr>
    </w:p>
    <w:p w14:paraId="237458B7" w14:textId="7DCFACA0" w:rsidR="00052BD0" w:rsidRDefault="00052BD0" w:rsidP="003522A9">
      <w:pPr>
        <w:rPr>
          <w:rFonts w:ascii="Arial" w:hAnsi="Arial" w:cs="Arial"/>
        </w:rPr>
      </w:pPr>
      <w:r>
        <w:rPr>
          <w:rFonts w:ascii="Arial" w:hAnsi="Arial" w:cs="Arial"/>
        </w:rPr>
        <w:t>This table is that same</w:t>
      </w:r>
      <w:r w:rsidR="00BD2C31">
        <w:rPr>
          <w:rFonts w:ascii="Arial" w:hAnsi="Arial" w:cs="Arial"/>
        </w:rPr>
        <w:t xml:space="preserve"> as </w:t>
      </w:r>
      <w:r>
        <w:rPr>
          <w:rFonts w:ascii="Arial" w:hAnsi="Arial" w:cs="Arial"/>
        </w:rPr>
        <w:t xml:space="preserve">Table 9.2 in the book. I have highlighted the values </w:t>
      </w:r>
      <w:r w:rsidR="00BD2C31">
        <w:rPr>
          <w:rFonts w:ascii="Arial" w:hAnsi="Arial" w:cs="Arial"/>
        </w:rPr>
        <w:t>in the table</w:t>
      </w:r>
      <w:r>
        <w:rPr>
          <w:rFonts w:ascii="Arial" w:hAnsi="Arial" w:cs="Arial"/>
        </w:rPr>
        <w:t xml:space="preserve"> that indicate exact agreement; these appear on the diagonal. Nominal agreement is simply the sum of these agreements divided by the total number of people being rated (10</w:t>
      </w:r>
      <w:r w:rsidR="00F61FA7">
        <w:rPr>
          <w:rFonts w:ascii="Arial" w:hAnsi="Arial" w:cs="Arial"/>
        </w:rPr>
        <w:t>, highlighted in aqua</w:t>
      </w:r>
      <w:r>
        <w:rPr>
          <w:rFonts w:ascii="Arial" w:hAnsi="Arial" w:cs="Arial"/>
        </w:rPr>
        <w:t>).</w:t>
      </w:r>
    </w:p>
    <w:p w14:paraId="3C170F3D" w14:textId="5BB07831" w:rsidR="00052BD0" w:rsidRDefault="00052BD0" w:rsidP="003522A9">
      <w:pPr>
        <w:rPr>
          <w:rFonts w:ascii="Arial" w:hAnsi="Arial" w:cs="Arial"/>
        </w:rPr>
      </w:pPr>
    </w:p>
    <w:p w14:paraId="51BA2906" w14:textId="3B5613C6" w:rsidR="00D025BD" w:rsidRDefault="00052BD0" w:rsidP="003522A9">
      <w:pPr>
        <w:rPr>
          <w:rFonts w:ascii="Arial" w:hAnsi="Arial" w:cs="Arial"/>
        </w:rPr>
      </w:pPr>
      <w:r>
        <w:rPr>
          <w:rFonts w:ascii="Arial" w:hAnsi="Arial" w:cs="Arial"/>
        </w:rPr>
        <w:t>This is equal to</w:t>
      </w:r>
      <w:r w:rsidR="00D025BD">
        <w:rPr>
          <w:rFonts w:ascii="Arial" w:hAnsi="Arial" w:cs="Arial"/>
        </w:rPr>
        <w:t>:</w:t>
      </w:r>
    </w:p>
    <w:p w14:paraId="2E79A5C8" w14:textId="77777777" w:rsidR="00D025BD" w:rsidRDefault="00D025BD" w:rsidP="003522A9">
      <w:pPr>
        <w:rPr>
          <w:rFonts w:ascii="Arial" w:hAnsi="Arial" w:cs="Arial"/>
        </w:rPr>
      </w:pPr>
    </w:p>
    <w:p w14:paraId="1BFFD242" w14:textId="0BD9A288" w:rsidR="00052BD0" w:rsidRPr="00052BD0" w:rsidRDefault="00D64061" w:rsidP="00D025BD">
      <w:pPr>
        <w:jc w:val="center"/>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O</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N</m:t>
              </m:r>
            </m:den>
          </m:f>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C</m:t>
              </m:r>
            </m:sup>
            <m:e>
              <m:sSub>
                <m:sSubPr>
                  <m:ctrlPr>
                    <w:rPr>
                      <w:rFonts w:ascii="Cambria Math" w:hAnsi="Cambria Math" w:cs="Arial"/>
                      <w:i/>
                    </w:rPr>
                  </m:ctrlPr>
                </m:sSubPr>
                <m:e>
                  <m:r>
                    <w:rPr>
                      <w:rFonts w:ascii="Cambria Math" w:hAnsi="Cambria Math" w:cs="Arial"/>
                    </w:rPr>
                    <m:t>n</m:t>
                  </m:r>
                </m:e>
                <m:sub>
                  <m:r>
                    <w:rPr>
                      <w:rFonts w:ascii="Cambria Math" w:hAnsi="Cambria Math" w:cs="Arial"/>
                    </w:rPr>
                    <m:t>ii</m:t>
                  </m:r>
                </m:sub>
              </m:sSub>
            </m:e>
          </m:nary>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1+1+2+1+2</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7</m:t>
              </m:r>
            </m:e>
          </m:d>
          <m:r>
            <w:rPr>
              <w:rFonts w:ascii="Cambria Math" w:hAnsi="Cambria Math" w:cs="Arial"/>
            </w:rPr>
            <m:t>=.7</m:t>
          </m:r>
        </m:oMath>
      </m:oMathPara>
    </w:p>
    <w:p w14:paraId="10DA2FEE" w14:textId="77777777" w:rsidR="00D025BD" w:rsidRDefault="00D025BD" w:rsidP="00533B4C">
      <w:pPr>
        <w:rPr>
          <w:rFonts w:ascii="Arial" w:hAnsi="Arial" w:cs="Arial"/>
        </w:rPr>
      </w:pPr>
    </w:p>
    <w:p w14:paraId="0BF12916" w14:textId="33730DA4" w:rsidR="00D025BD" w:rsidRDefault="00D025BD" w:rsidP="00533B4C">
      <w:pPr>
        <w:rPr>
          <w:rFonts w:ascii="Arial" w:hAnsi="Arial" w:cs="Arial"/>
        </w:rPr>
      </w:pPr>
      <w:r>
        <w:rPr>
          <w:rFonts w:ascii="Arial" w:hAnsi="Arial" w:cs="Arial"/>
        </w:rPr>
        <w:t>P</w:t>
      </w:r>
      <w:r>
        <w:rPr>
          <w:rFonts w:ascii="Arial" w:hAnsi="Arial" w:cs="Arial"/>
          <w:vertAlign w:val="subscript"/>
        </w:rPr>
        <w:t>0</w:t>
      </w:r>
      <w:r>
        <w:rPr>
          <w:rFonts w:ascii="Arial" w:hAnsi="Arial" w:cs="Arial"/>
        </w:rPr>
        <w:t xml:space="preserve"> is the nominal agreement, </w:t>
      </w:r>
      <w:r>
        <w:rPr>
          <w:rFonts w:ascii="Arial" w:hAnsi="Arial" w:cs="Arial"/>
          <w:i/>
          <w:iCs/>
        </w:rPr>
        <w:t>N</w:t>
      </w:r>
      <w:r>
        <w:rPr>
          <w:rFonts w:ascii="Arial" w:hAnsi="Arial" w:cs="Arial"/>
        </w:rPr>
        <w:t xml:space="preserve"> is the number of people being rated, </w:t>
      </w:r>
      <w:r>
        <w:rPr>
          <w:rFonts w:ascii="Arial" w:hAnsi="Arial" w:cs="Arial"/>
          <w:i/>
          <w:iCs/>
        </w:rPr>
        <w:t>C</w:t>
      </w:r>
      <w:r>
        <w:rPr>
          <w:rFonts w:ascii="Arial" w:hAnsi="Arial" w:cs="Arial"/>
        </w:rPr>
        <w:t xml:space="preserve"> is the number of rating categories, and </w:t>
      </w:r>
      <w:proofErr w:type="spellStart"/>
      <w:r>
        <w:rPr>
          <w:rFonts w:ascii="Arial" w:hAnsi="Arial" w:cs="Arial"/>
          <w:i/>
          <w:iCs/>
        </w:rPr>
        <w:t>n</w:t>
      </w:r>
      <w:r>
        <w:rPr>
          <w:rFonts w:ascii="Arial" w:hAnsi="Arial" w:cs="Arial"/>
          <w:i/>
          <w:iCs/>
          <w:vertAlign w:val="subscript"/>
        </w:rPr>
        <w:t>ii</w:t>
      </w:r>
      <w:proofErr w:type="spellEnd"/>
      <w:r>
        <w:rPr>
          <w:rFonts w:ascii="Arial" w:hAnsi="Arial" w:cs="Arial"/>
          <w:i/>
          <w:iCs/>
        </w:rPr>
        <w:t xml:space="preserve"> </w:t>
      </w:r>
      <w:r>
        <w:rPr>
          <w:rFonts w:ascii="Arial" w:hAnsi="Arial" w:cs="Arial"/>
        </w:rPr>
        <w:t>represents the number on the diagonal of the matrix.</w:t>
      </w:r>
    </w:p>
    <w:p w14:paraId="5FDF1555" w14:textId="77777777" w:rsidR="00D025BD" w:rsidRPr="00D025BD" w:rsidRDefault="00D025BD" w:rsidP="00533B4C">
      <w:pPr>
        <w:rPr>
          <w:rFonts w:ascii="Arial" w:hAnsi="Arial" w:cs="Arial"/>
        </w:rPr>
      </w:pPr>
    </w:p>
    <w:p w14:paraId="2859E7D5" w14:textId="1C1FA475" w:rsidR="00343BEC" w:rsidRDefault="00343BEC" w:rsidP="00533B4C">
      <w:pPr>
        <w:rPr>
          <w:rFonts w:ascii="Arial" w:hAnsi="Arial" w:cs="Arial"/>
        </w:rPr>
      </w:pPr>
    </w:p>
    <w:p w14:paraId="04F4DA53" w14:textId="4264D9A6" w:rsidR="00343BEC" w:rsidRDefault="00343BEC" w:rsidP="00533B4C">
      <w:pPr>
        <w:rPr>
          <w:rFonts w:ascii="Arial" w:hAnsi="Arial" w:cs="Arial"/>
          <w:b/>
          <w:i/>
        </w:rPr>
      </w:pPr>
      <w:r>
        <w:rPr>
          <w:rFonts w:ascii="Arial" w:hAnsi="Arial" w:cs="Arial"/>
          <w:b/>
          <w:i/>
        </w:rPr>
        <w:t xml:space="preserve">Calculating agreement using </w:t>
      </w:r>
      <w:r w:rsidR="00BD2C31">
        <w:rPr>
          <w:rFonts w:ascii="Arial" w:hAnsi="Arial" w:cs="Arial"/>
          <w:b/>
          <w:i/>
        </w:rPr>
        <w:t>a data step</w:t>
      </w:r>
    </w:p>
    <w:p w14:paraId="6E128BCB" w14:textId="5889D9F1" w:rsidR="008A3CC3" w:rsidRDefault="008A3CC3" w:rsidP="00533B4C">
      <w:pPr>
        <w:rPr>
          <w:rFonts w:ascii="Arial" w:hAnsi="Arial" w:cs="Arial"/>
          <w:b/>
          <w:i/>
        </w:rPr>
      </w:pPr>
    </w:p>
    <w:p w14:paraId="58E06C57" w14:textId="77777777" w:rsidR="001C5963" w:rsidRDefault="008A3CC3" w:rsidP="00533B4C">
      <w:pPr>
        <w:rPr>
          <w:rFonts w:ascii="Arial" w:hAnsi="Arial" w:cs="Arial"/>
        </w:rPr>
      </w:pPr>
      <w:r>
        <w:rPr>
          <w:rFonts w:ascii="Arial" w:hAnsi="Arial" w:cs="Arial"/>
        </w:rPr>
        <w:t>To calculate agreement between two raters, use the</w:t>
      </w:r>
      <w:r w:rsidR="001C5963">
        <w:rPr>
          <w:rFonts w:ascii="Arial" w:hAnsi="Arial" w:cs="Arial"/>
        </w:rPr>
        <w:t xml:space="preserve"> syntax below.</w:t>
      </w:r>
    </w:p>
    <w:p w14:paraId="5B0ABD56" w14:textId="77777777" w:rsidR="001C5963" w:rsidRDefault="001C5963" w:rsidP="00533B4C">
      <w:pPr>
        <w:rPr>
          <w:rFonts w:ascii="Arial" w:hAnsi="Arial" w:cs="Arial"/>
        </w:rPr>
      </w:pPr>
    </w:p>
    <w:p w14:paraId="61C0B29F" w14:textId="13AAD9AD" w:rsidR="007926CB" w:rsidRPr="007926CB" w:rsidRDefault="007926CB" w:rsidP="007926CB">
      <w:pPr>
        <w:rPr>
          <w:rFonts w:ascii="Arial" w:hAnsi="Arial" w:cs="Arial"/>
          <w:b/>
        </w:rPr>
      </w:pPr>
      <w:r w:rsidRPr="007926CB">
        <w:rPr>
          <w:rFonts w:ascii="Arial" w:hAnsi="Arial" w:cs="Arial"/>
          <w:b/>
        </w:rPr>
        <w:t>data rater2;</w:t>
      </w:r>
      <w:r w:rsidR="00BD2C31">
        <w:rPr>
          <w:rFonts w:ascii="Arial" w:hAnsi="Arial" w:cs="Arial"/>
          <w:b/>
        </w:rPr>
        <w:t xml:space="preserve"> </w:t>
      </w:r>
      <w:r w:rsidRPr="007926CB">
        <w:rPr>
          <w:rFonts w:ascii="Arial" w:hAnsi="Arial" w:cs="Arial"/>
          <w:b/>
        </w:rPr>
        <w:t>set rater;</w:t>
      </w:r>
    </w:p>
    <w:p w14:paraId="38915FB2" w14:textId="77777777" w:rsidR="007926CB" w:rsidRPr="007926CB" w:rsidRDefault="007926CB" w:rsidP="007926CB">
      <w:pPr>
        <w:rPr>
          <w:rFonts w:ascii="Arial" w:hAnsi="Arial" w:cs="Arial"/>
          <w:b/>
        </w:rPr>
      </w:pPr>
      <w:r w:rsidRPr="007926CB">
        <w:rPr>
          <w:rFonts w:ascii="Arial" w:hAnsi="Arial" w:cs="Arial"/>
          <w:b/>
        </w:rPr>
        <w:t xml:space="preserve">   count = 0;</w:t>
      </w:r>
    </w:p>
    <w:p w14:paraId="3C10F2A7" w14:textId="77777777" w:rsidR="007926CB" w:rsidRPr="007926CB" w:rsidRDefault="007926CB" w:rsidP="007926CB">
      <w:pPr>
        <w:rPr>
          <w:rFonts w:ascii="Arial" w:hAnsi="Arial" w:cs="Arial"/>
          <w:b/>
        </w:rPr>
      </w:pPr>
      <w:r w:rsidRPr="007926CB">
        <w:rPr>
          <w:rFonts w:ascii="Arial" w:hAnsi="Arial" w:cs="Arial"/>
          <w:b/>
        </w:rPr>
        <w:t xml:space="preserve">   if (rater1=rater2) then count=1;</w:t>
      </w:r>
    </w:p>
    <w:p w14:paraId="1F6A4A06" w14:textId="4D941782" w:rsidR="001C5963" w:rsidRDefault="007926CB" w:rsidP="007926CB">
      <w:pPr>
        <w:rPr>
          <w:rFonts w:ascii="Arial" w:hAnsi="Arial" w:cs="Arial"/>
          <w:b/>
        </w:rPr>
      </w:pPr>
      <w:r w:rsidRPr="007926CB">
        <w:rPr>
          <w:rFonts w:ascii="Arial" w:hAnsi="Arial" w:cs="Arial"/>
          <w:b/>
        </w:rPr>
        <w:t>run;</w:t>
      </w:r>
    </w:p>
    <w:p w14:paraId="7CB8372B" w14:textId="4BA67B5B" w:rsidR="001C5963" w:rsidRDefault="001C5963" w:rsidP="00533B4C">
      <w:pPr>
        <w:rPr>
          <w:rFonts w:ascii="Arial" w:hAnsi="Arial" w:cs="Arial"/>
        </w:rPr>
      </w:pPr>
    </w:p>
    <w:p w14:paraId="4CD72E38" w14:textId="38DD7726" w:rsidR="001C5963" w:rsidRPr="00BD2C31" w:rsidRDefault="007926CB" w:rsidP="00533B4C">
      <w:pPr>
        <w:rPr>
          <w:rFonts w:ascii="Arial" w:hAnsi="Arial" w:cs="Arial"/>
        </w:rPr>
      </w:pPr>
      <w:r>
        <w:rPr>
          <w:rFonts w:ascii="Arial" w:hAnsi="Arial" w:cs="Arial"/>
        </w:rPr>
        <w:t>T</w:t>
      </w:r>
      <w:r w:rsidR="001C5963">
        <w:rPr>
          <w:rFonts w:ascii="Arial" w:hAnsi="Arial" w:cs="Arial"/>
        </w:rPr>
        <w:t>he variable “</w:t>
      </w:r>
      <w:r w:rsidR="001C5963" w:rsidRPr="00BD2C31">
        <w:rPr>
          <w:rFonts w:ascii="Arial" w:hAnsi="Arial" w:cs="Arial"/>
          <w:b/>
          <w:bCs/>
        </w:rPr>
        <w:t>count</w:t>
      </w:r>
      <w:r w:rsidR="001C5963">
        <w:rPr>
          <w:rFonts w:ascii="Arial" w:hAnsi="Arial" w:cs="Arial"/>
        </w:rPr>
        <w:t xml:space="preserve">” </w:t>
      </w:r>
      <w:r>
        <w:rPr>
          <w:rFonts w:ascii="Arial" w:hAnsi="Arial" w:cs="Arial"/>
        </w:rPr>
        <w:t>is initialized with</w:t>
      </w:r>
      <w:r w:rsidR="001C5963">
        <w:rPr>
          <w:rFonts w:ascii="Arial" w:hAnsi="Arial" w:cs="Arial"/>
        </w:rPr>
        <w:t xml:space="preserve"> </w:t>
      </w:r>
      <w:r>
        <w:rPr>
          <w:rFonts w:ascii="Arial" w:hAnsi="Arial" w:cs="Arial"/>
        </w:rPr>
        <w:t xml:space="preserve">a value of 0 for all cases. The </w:t>
      </w:r>
      <w:r w:rsidR="001C5963" w:rsidRPr="00BD2C31">
        <w:rPr>
          <w:rFonts w:ascii="Arial" w:hAnsi="Arial" w:cs="Arial"/>
          <w:b/>
          <w:bCs/>
          <w:iCs/>
        </w:rPr>
        <w:t xml:space="preserve">if </w:t>
      </w:r>
      <w:r w:rsidR="001C5963">
        <w:rPr>
          <w:rFonts w:ascii="Arial" w:hAnsi="Arial" w:cs="Arial"/>
        </w:rPr>
        <w:t xml:space="preserve">subcommand changes the value of </w:t>
      </w:r>
      <w:r w:rsidR="001C5963" w:rsidRPr="00BD2C31">
        <w:rPr>
          <w:rFonts w:ascii="Arial" w:hAnsi="Arial" w:cs="Arial"/>
          <w:b/>
          <w:bCs/>
        </w:rPr>
        <w:t>count</w:t>
      </w:r>
      <w:r w:rsidR="001C5963">
        <w:rPr>
          <w:rFonts w:ascii="Arial" w:hAnsi="Arial" w:cs="Arial"/>
        </w:rPr>
        <w:t xml:space="preserve"> to 1 if the scores of rater1 and rater2 are equal (i.e., if the two raters assign the same score).</w:t>
      </w:r>
      <w:r w:rsidR="00BD2C31">
        <w:rPr>
          <w:rFonts w:ascii="Arial" w:hAnsi="Arial" w:cs="Arial"/>
        </w:rPr>
        <w:t xml:space="preserve"> The variable </w:t>
      </w:r>
      <w:r w:rsidR="00BD2C31">
        <w:rPr>
          <w:rFonts w:ascii="Arial" w:hAnsi="Arial" w:cs="Arial"/>
          <w:b/>
          <w:bCs/>
        </w:rPr>
        <w:t>count</w:t>
      </w:r>
      <w:r w:rsidR="00BD2C31">
        <w:rPr>
          <w:rFonts w:ascii="Arial" w:hAnsi="Arial" w:cs="Arial"/>
        </w:rPr>
        <w:t xml:space="preserve"> is computed for each person in the dataset.</w:t>
      </w:r>
    </w:p>
    <w:p w14:paraId="496CF607" w14:textId="7427517E" w:rsidR="001C5963" w:rsidRDefault="001C5963" w:rsidP="00533B4C">
      <w:pPr>
        <w:rPr>
          <w:rFonts w:ascii="Arial" w:hAnsi="Arial" w:cs="Arial"/>
        </w:rPr>
      </w:pPr>
    </w:p>
    <w:p w14:paraId="236E3EA5" w14:textId="37A2F5CC" w:rsidR="001C5963" w:rsidRPr="007926CB" w:rsidRDefault="001C5963" w:rsidP="00533B4C">
      <w:pPr>
        <w:rPr>
          <w:rFonts w:ascii="Arial" w:hAnsi="Arial" w:cs="Arial"/>
        </w:rPr>
      </w:pPr>
      <w:r>
        <w:rPr>
          <w:rFonts w:ascii="Arial" w:hAnsi="Arial" w:cs="Arial"/>
        </w:rPr>
        <w:t xml:space="preserve">The mean of </w:t>
      </w:r>
      <w:r w:rsidRPr="00BD2C31">
        <w:rPr>
          <w:rFonts w:ascii="Arial" w:hAnsi="Arial" w:cs="Arial"/>
          <w:b/>
          <w:bCs/>
        </w:rPr>
        <w:t>count</w:t>
      </w:r>
      <w:r>
        <w:rPr>
          <w:rFonts w:ascii="Arial" w:hAnsi="Arial" w:cs="Arial"/>
        </w:rPr>
        <w:t xml:space="preserve"> is the</w:t>
      </w:r>
      <w:r w:rsidR="00EC7D94">
        <w:rPr>
          <w:rFonts w:ascii="Arial" w:hAnsi="Arial" w:cs="Arial"/>
        </w:rPr>
        <w:t xml:space="preserve"> </w:t>
      </w:r>
      <w:r w:rsidR="007926CB">
        <w:rPr>
          <w:rFonts w:ascii="Arial" w:hAnsi="Arial" w:cs="Arial"/>
        </w:rPr>
        <w:t>mean</w:t>
      </w:r>
      <w:r w:rsidR="00EC7D94">
        <w:rPr>
          <w:rFonts w:ascii="Arial" w:hAnsi="Arial" w:cs="Arial"/>
        </w:rPr>
        <w:t xml:space="preserve"> of these agreements, or the value of nominal agreement.</w:t>
      </w:r>
      <w:r w:rsidR="007926CB">
        <w:rPr>
          <w:rFonts w:ascii="Arial" w:hAnsi="Arial" w:cs="Arial"/>
        </w:rPr>
        <w:t xml:space="preserve"> Use </w:t>
      </w:r>
      <w:r w:rsidR="007926CB" w:rsidRPr="00BD2C31">
        <w:rPr>
          <w:rFonts w:ascii="Arial" w:hAnsi="Arial" w:cs="Arial"/>
          <w:b/>
          <w:bCs/>
          <w:iCs/>
        </w:rPr>
        <w:t>proc means</w:t>
      </w:r>
      <w:r w:rsidR="007926CB">
        <w:rPr>
          <w:rFonts w:ascii="Arial" w:hAnsi="Arial" w:cs="Arial"/>
        </w:rPr>
        <w:t xml:space="preserve"> to obtain this value.</w:t>
      </w:r>
    </w:p>
    <w:p w14:paraId="06992A04" w14:textId="77777777" w:rsidR="007926CB" w:rsidRPr="001C5963" w:rsidRDefault="007926CB" w:rsidP="00533B4C">
      <w:pPr>
        <w:rPr>
          <w:rFonts w:ascii="Arial" w:hAnsi="Arial" w:cs="Arial"/>
        </w:rPr>
      </w:pPr>
    </w:p>
    <w:p w14:paraId="56A4B3D6" w14:textId="77777777" w:rsidR="00BD2C31" w:rsidRDefault="00BD2C31" w:rsidP="007926CB">
      <w:pPr>
        <w:rPr>
          <w:rFonts w:ascii="Arial" w:hAnsi="Arial" w:cs="Arial"/>
          <w:b/>
        </w:rPr>
      </w:pPr>
    </w:p>
    <w:p w14:paraId="5274C84D" w14:textId="77777777" w:rsidR="00BD2C31" w:rsidRDefault="00BD2C31" w:rsidP="007926CB">
      <w:pPr>
        <w:rPr>
          <w:rFonts w:ascii="Arial" w:hAnsi="Arial" w:cs="Arial"/>
          <w:b/>
        </w:rPr>
      </w:pPr>
    </w:p>
    <w:p w14:paraId="1C8C78BD" w14:textId="65350285" w:rsidR="007926CB" w:rsidRPr="007926CB" w:rsidRDefault="007926CB" w:rsidP="007926CB">
      <w:pPr>
        <w:rPr>
          <w:rFonts w:ascii="Arial" w:hAnsi="Arial" w:cs="Arial"/>
          <w:b/>
        </w:rPr>
      </w:pPr>
      <w:r w:rsidRPr="007926CB">
        <w:rPr>
          <w:rFonts w:ascii="Arial" w:hAnsi="Arial" w:cs="Arial"/>
          <w:b/>
        </w:rPr>
        <w:lastRenderedPageBreak/>
        <w:t>proc means data=</w:t>
      </w:r>
      <w:r w:rsidRPr="00BD2C31">
        <w:rPr>
          <w:rFonts w:ascii="Arial" w:hAnsi="Arial" w:cs="Arial"/>
          <w:bCs/>
        </w:rPr>
        <w:t>rater2</w:t>
      </w:r>
      <w:r w:rsidRPr="007926CB">
        <w:rPr>
          <w:rFonts w:ascii="Arial" w:hAnsi="Arial" w:cs="Arial"/>
          <w:b/>
        </w:rPr>
        <w:t xml:space="preserve"> mean;</w:t>
      </w:r>
    </w:p>
    <w:p w14:paraId="5400BC8E" w14:textId="77777777" w:rsidR="007926CB" w:rsidRPr="007926CB" w:rsidRDefault="007926CB" w:rsidP="007926CB">
      <w:pPr>
        <w:rPr>
          <w:rFonts w:ascii="Arial" w:hAnsi="Arial" w:cs="Arial"/>
          <w:b/>
        </w:rPr>
      </w:pPr>
      <w:r w:rsidRPr="007926CB">
        <w:rPr>
          <w:rFonts w:ascii="Arial" w:hAnsi="Arial" w:cs="Arial"/>
          <w:b/>
        </w:rPr>
        <w:t xml:space="preserve">variable </w:t>
      </w:r>
      <w:r w:rsidRPr="00BD2C31">
        <w:rPr>
          <w:rFonts w:ascii="Arial" w:hAnsi="Arial" w:cs="Arial"/>
          <w:bCs/>
        </w:rPr>
        <w:t>count</w:t>
      </w:r>
      <w:r w:rsidRPr="007926CB">
        <w:rPr>
          <w:rFonts w:ascii="Arial" w:hAnsi="Arial" w:cs="Arial"/>
          <w:b/>
        </w:rPr>
        <w:t>;</w:t>
      </w:r>
    </w:p>
    <w:p w14:paraId="6848FB05" w14:textId="3B4E81E2" w:rsidR="00D54467" w:rsidRPr="007926CB" w:rsidRDefault="007926CB" w:rsidP="007926CB">
      <w:pPr>
        <w:rPr>
          <w:rFonts w:ascii="Arial" w:hAnsi="Arial" w:cs="Arial"/>
          <w:b/>
        </w:rPr>
      </w:pPr>
      <w:r w:rsidRPr="007926CB">
        <w:rPr>
          <w:rFonts w:ascii="Arial" w:hAnsi="Arial" w:cs="Arial"/>
          <w:b/>
        </w:rPr>
        <w:t>run;</w:t>
      </w:r>
    </w:p>
    <w:p w14:paraId="18ECFF8D" w14:textId="47082B6C" w:rsidR="00EC7D94" w:rsidRDefault="00EC7D94" w:rsidP="00EC7D94">
      <w:pPr>
        <w:autoSpaceDE w:val="0"/>
        <w:autoSpaceDN w:val="0"/>
        <w:adjustRightInd w:val="0"/>
        <w:rPr>
          <w:lang w:bidi="ar-SA"/>
        </w:rPr>
      </w:pPr>
    </w:p>
    <w:p w14:paraId="1F76A860" w14:textId="2DBEB1C3" w:rsidR="007926CB" w:rsidRDefault="007926CB" w:rsidP="00EC7D94">
      <w:pPr>
        <w:autoSpaceDE w:val="0"/>
        <w:autoSpaceDN w:val="0"/>
        <w:adjustRightInd w:val="0"/>
        <w:rPr>
          <w:rFonts w:ascii="Arial" w:hAnsi="Arial" w:cs="Arial"/>
          <w:lang w:bidi="ar-SA"/>
        </w:rPr>
      </w:pPr>
      <w:r w:rsidRPr="007926CB">
        <w:rPr>
          <w:rFonts w:ascii="Arial" w:hAnsi="Arial" w:cs="Arial"/>
          <w:lang w:bidi="ar-SA"/>
        </w:rPr>
        <w:t>This will</w:t>
      </w:r>
      <w:r>
        <w:rPr>
          <w:rFonts w:ascii="Arial" w:hAnsi="Arial" w:cs="Arial"/>
          <w:lang w:bidi="ar-SA"/>
        </w:rPr>
        <w:t xml:space="preserve"> yield the table below.</w:t>
      </w:r>
    </w:p>
    <w:p w14:paraId="07B63F77" w14:textId="1F88AEE9" w:rsidR="007926CB" w:rsidRDefault="007926CB" w:rsidP="00EC7D94">
      <w:pPr>
        <w:autoSpaceDE w:val="0"/>
        <w:autoSpaceDN w:val="0"/>
        <w:adjustRightInd w:val="0"/>
        <w:rPr>
          <w:rFonts w:ascii="Arial" w:hAnsi="Arial" w:cs="Arial"/>
          <w:lang w:bidi="ar-SA"/>
        </w:rPr>
      </w:pPr>
    </w:p>
    <w:tbl>
      <w:tblPr>
        <w:tblW w:w="0" w:type="auto"/>
        <w:tblInd w:w="2195" w:type="dxa"/>
        <w:tblLayout w:type="fixed"/>
        <w:tblCellMar>
          <w:left w:w="0" w:type="dxa"/>
          <w:right w:w="0" w:type="dxa"/>
        </w:tblCellMar>
        <w:tblLook w:val="0000" w:firstRow="0" w:lastRow="0" w:firstColumn="0" w:lastColumn="0" w:noHBand="0" w:noVBand="0"/>
      </w:tblPr>
      <w:tblGrid>
        <w:gridCol w:w="1692"/>
      </w:tblGrid>
      <w:tr w:rsidR="007926CB" w14:paraId="0E65F0D5" w14:textId="77777777" w:rsidTr="007926CB">
        <w:trPr>
          <w:cantSplit/>
          <w:tblHeader/>
        </w:trPr>
        <w:tc>
          <w:tcPr>
            <w:tcW w:w="1692" w:type="dxa"/>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3F572CFE" w14:textId="77777777" w:rsidR="007926CB" w:rsidRDefault="007926CB" w:rsidP="00D25742">
            <w:pPr>
              <w:keepNext/>
              <w:adjustRightInd w:val="0"/>
              <w:spacing w:before="60" w:after="60"/>
              <w:jc w:val="center"/>
              <w:rPr>
                <w:b/>
                <w:bCs/>
                <w:color w:val="000000"/>
                <w:sz w:val="22"/>
                <w:szCs w:val="22"/>
              </w:rPr>
            </w:pPr>
            <w:r>
              <w:rPr>
                <w:b/>
                <w:bCs/>
                <w:color w:val="000000"/>
                <w:sz w:val="22"/>
                <w:szCs w:val="22"/>
              </w:rPr>
              <w:t>Analysis Variable : count</w:t>
            </w:r>
          </w:p>
        </w:tc>
      </w:tr>
      <w:tr w:rsidR="007926CB" w14:paraId="38B1C902" w14:textId="77777777" w:rsidTr="007926CB">
        <w:trPr>
          <w:cantSplit/>
          <w:tblHeader/>
        </w:trPr>
        <w:tc>
          <w:tcPr>
            <w:tcW w:w="1692" w:type="dxa"/>
            <w:tcBorders>
              <w:top w:val="nil"/>
              <w:left w:val="single" w:sz="6" w:space="0" w:color="000000"/>
              <w:bottom w:val="single" w:sz="2" w:space="0" w:color="000000"/>
              <w:right w:val="single" w:sz="6" w:space="0" w:color="000000"/>
            </w:tcBorders>
            <w:shd w:val="clear" w:color="auto" w:fill="BBBBBB"/>
            <w:tcMar>
              <w:left w:w="60" w:type="dxa"/>
              <w:right w:w="60" w:type="dxa"/>
            </w:tcMar>
            <w:vAlign w:val="bottom"/>
          </w:tcPr>
          <w:p w14:paraId="77D4C5B6" w14:textId="77777777" w:rsidR="007926CB" w:rsidRDefault="007926CB" w:rsidP="00D25742">
            <w:pPr>
              <w:keepNext/>
              <w:adjustRightInd w:val="0"/>
              <w:spacing w:before="60" w:after="60"/>
              <w:jc w:val="right"/>
              <w:rPr>
                <w:b/>
                <w:bCs/>
                <w:color w:val="000000"/>
                <w:sz w:val="22"/>
                <w:szCs w:val="22"/>
              </w:rPr>
            </w:pPr>
            <w:r>
              <w:rPr>
                <w:b/>
                <w:bCs/>
                <w:color w:val="000000"/>
                <w:sz w:val="22"/>
                <w:szCs w:val="22"/>
              </w:rPr>
              <w:t>Mean</w:t>
            </w:r>
          </w:p>
        </w:tc>
      </w:tr>
      <w:tr w:rsidR="007926CB" w14:paraId="1F132524" w14:textId="77777777" w:rsidTr="007926CB">
        <w:trPr>
          <w:cantSplit/>
        </w:trPr>
        <w:tc>
          <w:tcPr>
            <w:tcW w:w="1692" w:type="dxa"/>
            <w:tcBorders>
              <w:top w:val="nil"/>
              <w:left w:val="single" w:sz="6" w:space="0" w:color="000000"/>
              <w:bottom w:val="single" w:sz="6" w:space="0" w:color="000000"/>
              <w:right w:val="single" w:sz="6" w:space="0" w:color="000000"/>
            </w:tcBorders>
            <w:shd w:val="clear" w:color="auto" w:fill="FFFFFF"/>
            <w:tcMar>
              <w:left w:w="60" w:type="dxa"/>
              <w:right w:w="60" w:type="dxa"/>
            </w:tcMar>
          </w:tcPr>
          <w:p w14:paraId="17792F2A" w14:textId="49FC3C2B" w:rsidR="007926CB" w:rsidRDefault="00BD2C31" w:rsidP="00D25742">
            <w:pPr>
              <w:keepNext/>
              <w:adjustRightInd w:val="0"/>
              <w:spacing w:before="60" w:after="60"/>
              <w:jc w:val="right"/>
              <w:rPr>
                <w:color w:val="000000"/>
              </w:rPr>
            </w:pPr>
            <w:r>
              <w:rPr>
                <w:noProof/>
                <w:color w:val="000000"/>
                <w:lang w:bidi="ar-SA"/>
              </w:rPr>
              <mc:AlternateContent>
                <mc:Choice Requires="wps">
                  <w:drawing>
                    <wp:anchor distT="0" distB="0" distL="114300" distR="114300" simplePos="0" relativeHeight="251659264" behindDoc="0" locked="0" layoutInCell="1" allowOverlap="1" wp14:anchorId="6C9D1C67" wp14:editId="4294F185">
                      <wp:simplePos x="0" y="0"/>
                      <wp:positionH relativeFrom="column">
                        <wp:posOffset>335834</wp:posOffset>
                      </wp:positionH>
                      <wp:positionV relativeFrom="paragraph">
                        <wp:posOffset>-5165</wp:posOffset>
                      </wp:positionV>
                      <wp:extent cx="675939" cy="261257"/>
                      <wp:effectExtent l="0" t="0" r="10160" b="24765"/>
                      <wp:wrapNone/>
                      <wp:docPr id="1" name="Rectangle 1"/>
                      <wp:cNvGraphicFramePr/>
                      <a:graphic xmlns:a="http://schemas.openxmlformats.org/drawingml/2006/main">
                        <a:graphicData uri="http://schemas.microsoft.com/office/word/2010/wordprocessingShape">
                          <wps:wsp>
                            <wps:cNvSpPr/>
                            <wps:spPr>
                              <a:xfrm>
                                <a:off x="0" y="0"/>
                                <a:ext cx="675939" cy="26125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C7BB7D" id="Rectangle 1" o:spid="_x0000_s1026" style="position:absolute;margin-left:26.45pt;margin-top:-.4pt;width:53.2pt;height:20.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" filled="f" strokecolor="red" strokeweight="1pt"/>
                  </w:pict>
                </mc:Fallback>
              </mc:AlternateContent>
            </w:r>
            <w:r w:rsidR="007926CB">
              <w:rPr>
                <w:color w:val="000000"/>
              </w:rPr>
              <w:t>0.7000000</w:t>
            </w:r>
          </w:p>
        </w:tc>
      </w:tr>
    </w:tbl>
    <w:p w14:paraId="08FAF2B2" w14:textId="77777777" w:rsidR="007926CB" w:rsidRDefault="007926CB" w:rsidP="00EC7D94">
      <w:pPr>
        <w:autoSpaceDE w:val="0"/>
        <w:autoSpaceDN w:val="0"/>
        <w:adjustRightInd w:val="0"/>
        <w:rPr>
          <w:rFonts w:ascii="Arial" w:hAnsi="Arial" w:cs="Arial"/>
          <w:lang w:bidi="ar-SA"/>
        </w:rPr>
      </w:pPr>
    </w:p>
    <w:p w14:paraId="0FE7B944" w14:textId="75268EB2" w:rsidR="00D54467" w:rsidRPr="00D54467" w:rsidRDefault="00D54467" w:rsidP="00D54467">
      <w:pPr>
        <w:rPr>
          <w:rFonts w:ascii="Arial" w:hAnsi="Arial" w:cs="Arial"/>
        </w:rPr>
      </w:pPr>
      <w:r>
        <w:rPr>
          <w:rFonts w:ascii="Arial" w:hAnsi="Arial" w:cs="Arial"/>
        </w:rPr>
        <w:t>The value of .7000 under “mean” is the value for nominal agreement. Note that this is the same value obtained by counting the entries on the diagonal and dividing by the total number of ratings.</w:t>
      </w:r>
    </w:p>
    <w:p w14:paraId="3231752C" w14:textId="6291BCCA" w:rsidR="00BD2C31" w:rsidRDefault="00BD2C31" w:rsidP="005B11BA">
      <w:pPr>
        <w:jc w:val="center"/>
        <w:rPr>
          <w:rFonts w:ascii="Arial" w:hAnsi="Arial" w:cs="Arial"/>
          <w:b/>
        </w:rPr>
      </w:pPr>
    </w:p>
    <w:p w14:paraId="24EA1D86" w14:textId="77777777" w:rsidR="00BD2C31" w:rsidRDefault="00BD2C31" w:rsidP="005B11BA">
      <w:pPr>
        <w:jc w:val="center"/>
        <w:rPr>
          <w:rFonts w:ascii="Arial" w:hAnsi="Arial" w:cs="Arial"/>
          <w:b/>
        </w:rPr>
      </w:pPr>
    </w:p>
    <w:p w14:paraId="48EC9D60" w14:textId="35749AF9" w:rsidR="00533B4C" w:rsidRPr="005B11BA" w:rsidRDefault="005B11BA" w:rsidP="005B11BA">
      <w:pPr>
        <w:jc w:val="center"/>
        <w:rPr>
          <w:rFonts w:ascii="Arial" w:hAnsi="Arial" w:cs="Arial"/>
          <w:b/>
        </w:rPr>
      </w:pPr>
      <w:r w:rsidRPr="005B11BA">
        <w:rPr>
          <w:rFonts w:ascii="Arial" w:hAnsi="Arial" w:cs="Arial"/>
          <w:b/>
        </w:rPr>
        <w:t>Cohen’s Kappa</w:t>
      </w:r>
    </w:p>
    <w:p w14:paraId="026EEEE5" w14:textId="5148F7FC" w:rsidR="005B11BA" w:rsidRDefault="005B11BA" w:rsidP="00533B4C">
      <w:pPr>
        <w:rPr>
          <w:rFonts w:ascii="Arial" w:hAnsi="Arial" w:cs="Arial"/>
        </w:rPr>
      </w:pPr>
    </w:p>
    <w:p w14:paraId="0DF31828" w14:textId="0EFD562A" w:rsidR="005B11BA" w:rsidRDefault="00EC7D94" w:rsidP="00533B4C">
      <w:pPr>
        <w:rPr>
          <w:rFonts w:ascii="Arial" w:hAnsi="Arial" w:cs="Arial"/>
        </w:rPr>
      </w:pPr>
      <w:r>
        <w:rPr>
          <w:rFonts w:ascii="Arial" w:hAnsi="Arial" w:cs="Arial"/>
        </w:rPr>
        <w:t xml:space="preserve">Values of Cohen’s kappa can be obtained </w:t>
      </w:r>
      <w:r w:rsidR="00927122">
        <w:rPr>
          <w:rFonts w:ascii="Arial" w:hAnsi="Arial" w:cs="Arial"/>
        </w:rPr>
        <w:t xml:space="preserve">from </w:t>
      </w:r>
      <w:proofErr w:type="spellStart"/>
      <w:r w:rsidR="00927122" w:rsidRPr="00BD2C31">
        <w:rPr>
          <w:rFonts w:ascii="Arial" w:hAnsi="Arial" w:cs="Arial"/>
          <w:b/>
          <w:bCs/>
          <w:iCs/>
        </w:rPr>
        <w:t>proc</w:t>
      </w:r>
      <w:proofErr w:type="spellEnd"/>
      <w:r w:rsidR="00927122" w:rsidRPr="00BD2C31">
        <w:rPr>
          <w:rFonts w:ascii="Arial" w:hAnsi="Arial" w:cs="Arial"/>
          <w:b/>
          <w:bCs/>
          <w:iCs/>
        </w:rPr>
        <w:t xml:space="preserve"> </w:t>
      </w:r>
      <w:proofErr w:type="spellStart"/>
      <w:r w:rsidR="00927122" w:rsidRPr="00BD2C31">
        <w:rPr>
          <w:rFonts w:ascii="Arial" w:hAnsi="Arial" w:cs="Arial"/>
          <w:b/>
          <w:bCs/>
          <w:iCs/>
        </w:rPr>
        <w:t>surveyfreq</w:t>
      </w:r>
      <w:proofErr w:type="spellEnd"/>
      <w:r w:rsidR="00927122">
        <w:rPr>
          <w:rFonts w:ascii="Arial" w:hAnsi="Arial" w:cs="Arial"/>
        </w:rPr>
        <w:t xml:space="preserve"> using the syntax below</w:t>
      </w:r>
      <w:r>
        <w:rPr>
          <w:rFonts w:ascii="Arial" w:hAnsi="Arial" w:cs="Arial"/>
        </w:rPr>
        <w:t>:</w:t>
      </w:r>
    </w:p>
    <w:p w14:paraId="75963DF7" w14:textId="7E13DD95" w:rsidR="00EC7D94" w:rsidRDefault="00EC7D94" w:rsidP="00533B4C">
      <w:pPr>
        <w:rPr>
          <w:rFonts w:ascii="Arial" w:hAnsi="Arial" w:cs="Arial"/>
        </w:rPr>
      </w:pPr>
    </w:p>
    <w:p w14:paraId="2CC999E5" w14:textId="77777777" w:rsidR="00927122" w:rsidRPr="00927122" w:rsidRDefault="00927122" w:rsidP="00927122">
      <w:pPr>
        <w:rPr>
          <w:rFonts w:ascii="Arial" w:hAnsi="Arial" w:cs="Arial"/>
          <w:b/>
        </w:rPr>
      </w:pPr>
      <w:proofErr w:type="spellStart"/>
      <w:r w:rsidRPr="00927122">
        <w:rPr>
          <w:rFonts w:ascii="Arial" w:hAnsi="Arial" w:cs="Arial"/>
          <w:b/>
        </w:rPr>
        <w:t>proc</w:t>
      </w:r>
      <w:proofErr w:type="spellEnd"/>
      <w:r w:rsidRPr="00927122">
        <w:rPr>
          <w:rFonts w:ascii="Arial" w:hAnsi="Arial" w:cs="Arial"/>
          <w:b/>
        </w:rPr>
        <w:t xml:space="preserve"> </w:t>
      </w:r>
      <w:proofErr w:type="spellStart"/>
      <w:r w:rsidRPr="00927122">
        <w:rPr>
          <w:rFonts w:ascii="Arial" w:hAnsi="Arial" w:cs="Arial"/>
          <w:b/>
        </w:rPr>
        <w:t>surveyfreq</w:t>
      </w:r>
      <w:proofErr w:type="spellEnd"/>
      <w:r w:rsidRPr="00927122">
        <w:rPr>
          <w:rFonts w:ascii="Arial" w:hAnsi="Arial" w:cs="Arial"/>
          <w:b/>
        </w:rPr>
        <w:t xml:space="preserve"> data=</w:t>
      </w:r>
      <w:r w:rsidRPr="00BD2C31">
        <w:rPr>
          <w:rFonts w:ascii="Arial" w:hAnsi="Arial" w:cs="Arial"/>
          <w:bCs/>
        </w:rPr>
        <w:t>rate</w:t>
      </w:r>
      <w:r w:rsidRPr="00927122">
        <w:rPr>
          <w:rFonts w:ascii="Arial" w:hAnsi="Arial" w:cs="Arial"/>
          <w:b/>
        </w:rPr>
        <w:t xml:space="preserve">r </w:t>
      </w:r>
      <w:proofErr w:type="spellStart"/>
      <w:r w:rsidRPr="00927122">
        <w:rPr>
          <w:rFonts w:ascii="Arial" w:hAnsi="Arial" w:cs="Arial"/>
          <w:b/>
        </w:rPr>
        <w:t>varmethod</w:t>
      </w:r>
      <w:proofErr w:type="spellEnd"/>
      <w:r w:rsidRPr="00927122">
        <w:rPr>
          <w:rFonts w:ascii="Arial" w:hAnsi="Arial" w:cs="Arial"/>
          <w:b/>
        </w:rPr>
        <w:t xml:space="preserve"> = jackknife;</w:t>
      </w:r>
    </w:p>
    <w:p w14:paraId="4D219E63" w14:textId="0B807E05" w:rsidR="00927122" w:rsidRPr="00927122" w:rsidRDefault="00927122" w:rsidP="00927122">
      <w:pPr>
        <w:rPr>
          <w:rFonts w:ascii="Arial" w:hAnsi="Arial" w:cs="Arial"/>
          <w:b/>
        </w:rPr>
      </w:pPr>
      <w:r w:rsidRPr="00927122">
        <w:rPr>
          <w:rFonts w:ascii="Arial" w:hAnsi="Arial" w:cs="Arial"/>
          <w:b/>
        </w:rPr>
        <w:t xml:space="preserve">  tables </w:t>
      </w:r>
      <w:proofErr w:type="spellStart"/>
      <w:r w:rsidRPr="00BD2C31">
        <w:rPr>
          <w:rFonts w:ascii="Arial" w:hAnsi="Arial" w:cs="Arial"/>
          <w:bCs/>
        </w:rPr>
        <w:t>rater1</w:t>
      </w:r>
      <w:proofErr w:type="spellEnd"/>
      <w:r w:rsidRPr="00BD2C31">
        <w:rPr>
          <w:rFonts w:ascii="Arial" w:hAnsi="Arial" w:cs="Arial"/>
          <w:bCs/>
        </w:rPr>
        <w:t xml:space="preserve"> * </w:t>
      </w:r>
      <w:proofErr w:type="spellStart"/>
      <w:r w:rsidRPr="00BD2C31">
        <w:rPr>
          <w:rFonts w:ascii="Arial" w:hAnsi="Arial" w:cs="Arial"/>
          <w:bCs/>
        </w:rPr>
        <w:t>rater2</w:t>
      </w:r>
      <w:proofErr w:type="spellEnd"/>
      <w:r w:rsidRPr="00927122">
        <w:rPr>
          <w:rFonts w:ascii="Arial" w:hAnsi="Arial" w:cs="Arial"/>
          <w:b/>
        </w:rPr>
        <w:t>/</w:t>
      </w:r>
      <w:proofErr w:type="spellStart"/>
      <w:r w:rsidRPr="00927122">
        <w:rPr>
          <w:rFonts w:ascii="Arial" w:hAnsi="Arial" w:cs="Arial"/>
          <w:b/>
        </w:rPr>
        <w:t>noprint</w:t>
      </w:r>
      <w:proofErr w:type="spellEnd"/>
      <w:r w:rsidRPr="00927122">
        <w:rPr>
          <w:rFonts w:ascii="Arial" w:hAnsi="Arial" w:cs="Arial"/>
          <w:b/>
        </w:rPr>
        <w:t xml:space="preserve"> kappa;</w:t>
      </w:r>
    </w:p>
    <w:p w14:paraId="636EEA7D" w14:textId="16546E0C" w:rsidR="00EC7D94" w:rsidRDefault="00927122" w:rsidP="00927122">
      <w:pPr>
        <w:rPr>
          <w:rFonts w:ascii="Arial" w:hAnsi="Arial" w:cs="Arial"/>
          <w:b/>
        </w:rPr>
      </w:pPr>
      <w:r w:rsidRPr="00927122">
        <w:rPr>
          <w:rFonts w:ascii="Arial" w:hAnsi="Arial" w:cs="Arial"/>
          <w:b/>
        </w:rPr>
        <w:t>run;</w:t>
      </w:r>
    </w:p>
    <w:p w14:paraId="139B90B8" w14:textId="576A0E8C" w:rsidR="00927122" w:rsidRDefault="00927122" w:rsidP="00927122">
      <w:pPr>
        <w:rPr>
          <w:rFonts w:ascii="Arial" w:hAnsi="Arial" w:cs="Arial"/>
          <w:b/>
        </w:rPr>
      </w:pPr>
    </w:p>
    <w:p w14:paraId="20B5436C" w14:textId="04CC9D12" w:rsidR="00927122" w:rsidRDefault="00927122" w:rsidP="00927122">
      <w:pPr>
        <w:rPr>
          <w:rFonts w:ascii="Arial" w:hAnsi="Arial" w:cs="Arial"/>
        </w:rPr>
      </w:pPr>
      <w:r>
        <w:rPr>
          <w:rFonts w:ascii="Arial" w:hAnsi="Arial" w:cs="Arial"/>
        </w:rPr>
        <w:t xml:space="preserve">The subcommand </w:t>
      </w:r>
      <w:proofErr w:type="spellStart"/>
      <w:r w:rsidRPr="00BD2C31">
        <w:rPr>
          <w:rFonts w:ascii="Arial" w:hAnsi="Arial" w:cs="Arial"/>
          <w:b/>
          <w:bCs/>
          <w:iCs/>
        </w:rPr>
        <w:t>varmethod</w:t>
      </w:r>
      <w:proofErr w:type="spellEnd"/>
      <w:r w:rsidRPr="00BD2C31">
        <w:rPr>
          <w:rFonts w:ascii="Arial" w:hAnsi="Arial" w:cs="Arial"/>
          <w:b/>
          <w:bCs/>
          <w:iCs/>
        </w:rPr>
        <w:t>=jackknife</w:t>
      </w:r>
      <w:r>
        <w:rPr>
          <w:rFonts w:ascii="Arial" w:hAnsi="Arial" w:cs="Arial"/>
        </w:rPr>
        <w:t xml:space="preserve"> must be used to obtain values of kappa. </w:t>
      </w:r>
      <w:r w:rsidRPr="00927122">
        <w:rPr>
          <w:rFonts w:ascii="Arial" w:hAnsi="Arial" w:cs="Arial"/>
        </w:rPr>
        <w:t>The subcommand</w:t>
      </w:r>
      <w:r>
        <w:rPr>
          <w:rFonts w:ascii="Arial" w:hAnsi="Arial" w:cs="Arial"/>
          <w:i/>
        </w:rPr>
        <w:t xml:space="preserve"> </w:t>
      </w:r>
      <w:proofErr w:type="spellStart"/>
      <w:r w:rsidRPr="00BD2C31">
        <w:rPr>
          <w:rFonts w:ascii="Arial" w:hAnsi="Arial" w:cs="Arial"/>
          <w:b/>
          <w:bCs/>
          <w:iCs/>
        </w:rPr>
        <w:t>noprint</w:t>
      </w:r>
      <w:proofErr w:type="spellEnd"/>
      <w:r>
        <w:rPr>
          <w:rFonts w:ascii="Arial" w:hAnsi="Arial" w:cs="Arial"/>
        </w:rPr>
        <w:t xml:space="preserve"> suppresses printing of the crosstabulation tables, resulting in the output below:</w:t>
      </w:r>
    </w:p>
    <w:p w14:paraId="20F2D584" w14:textId="3E4681C4" w:rsidR="00927122" w:rsidRPr="00927122" w:rsidRDefault="00927122" w:rsidP="00927122">
      <w:pPr>
        <w:rPr>
          <w:rFonts w:ascii="Arial" w:hAnsi="Arial" w:cs="Arial"/>
        </w:rPr>
      </w:pPr>
    </w:p>
    <w:tbl>
      <w:tblPr>
        <w:tblW w:w="0" w:type="auto"/>
        <w:tblInd w:w="1532" w:type="dxa"/>
        <w:tblLayout w:type="fixed"/>
        <w:tblCellMar>
          <w:left w:w="0" w:type="dxa"/>
          <w:right w:w="0" w:type="dxa"/>
        </w:tblCellMar>
        <w:tblLook w:val="0000" w:firstRow="0" w:lastRow="0" w:firstColumn="0" w:lastColumn="0" w:noHBand="0" w:noVBand="0"/>
      </w:tblPr>
      <w:tblGrid>
        <w:gridCol w:w="984"/>
        <w:gridCol w:w="1022"/>
        <w:gridCol w:w="1260"/>
        <w:gridCol w:w="1260"/>
      </w:tblGrid>
      <w:tr w:rsidR="00927122" w14:paraId="410ED925" w14:textId="77777777" w:rsidTr="00927122">
        <w:trPr>
          <w:cantSplit/>
          <w:tblHeader/>
        </w:trPr>
        <w:tc>
          <w:tcPr>
            <w:tcW w:w="4526" w:type="dxa"/>
            <w:gridSpan w:val="4"/>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35C77CE3" w14:textId="772508B3" w:rsidR="00927122" w:rsidRDefault="00927122" w:rsidP="00D25742">
            <w:pPr>
              <w:keepNext/>
              <w:adjustRightInd w:val="0"/>
              <w:spacing w:before="60" w:after="60"/>
              <w:jc w:val="center"/>
              <w:rPr>
                <w:b/>
                <w:bCs/>
                <w:color w:val="000000"/>
                <w:sz w:val="22"/>
                <w:szCs w:val="22"/>
              </w:rPr>
            </w:pPr>
            <w:r>
              <w:rPr>
                <w:b/>
                <w:bCs/>
                <w:color w:val="000000"/>
                <w:sz w:val="22"/>
                <w:szCs w:val="22"/>
              </w:rPr>
              <w:t>Simple Kappa Coefficient</w:t>
            </w:r>
          </w:p>
        </w:tc>
      </w:tr>
      <w:tr w:rsidR="00927122" w14:paraId="10A652E1" w14:textId="77777777" w:rsidTr="00927122">
        <w:trPr>
          <w:cantSplit/>
          <w:tblHeader/>
        </w:trPr>
        <w:tc>
          <w:tcPr>
            <w:tcW w:w="984" w:type="dxa"/>
            <w:tcBorders>
              <w:top w:val="nil"/>
              <w:left w:val="single" w:sz="6" w:space="0" w:color="000000"/>
              <w:bottom w:val="single" w:sz="2" w:space="0" w:color="000000"/>
              <w:right w:val="nil"/>
            </w:tcBorders>
            <w:shd w:val="clear" w:color="auto" w:fill="BBBBBB"/>
            <w:tcMar>
              <w:left w:w="60" w:type="dxa"/>
              <w:right w:w="60" w:type="dxa"/>
            </w:tcMar>
            <w:vAlign w:val="bottom"/>
          </w:tcPr>
          <w:p w14:paraId="71AD419F" w14:textId="58F8AAFC" w:rsidR="00927122" w:rsidRDefault="00927122" w:rsidP="00D25742">
            <w:pPr>
              <w:keepNext/>
              <w:adjustRightInd w:val="0"/>
              <w:spacing w:before="60" w:after="60"/>
              <w:jc w:val="right"/>
              <w:rPr>
                <w:b/>
                <w:bCs/>
                <w:color w:val="000000"/>
                <w:sz w:val="22"/>
                <w:szCs w:val="22"/>
              </w:rPr>
            </w:pPr>
            <w:r>
              <w:rPr>
                <w:b/>
                <w:bCs/>
                <w:color w:val="000000"/>
                <w:sz w:val="22"/>
                <w:szCs w:val="22"/>
              </w:rPr>
              <w:t>Estimate</w:t>
            </w:r>
          </w:p>
        </w:tc>
        <w:tc>
          <w:tcPr>
            <w:tcW w:w="1022" w:type="dxa"/>
            <w:tcBorders>
              <w:top w:val="nil"/>
              <w:left w:val="single" w:sz="2" w:space="0" w:color="000000"/>
              <w:bottom w:val="single" w:sz="2" w:space="0" w:color="000000"/>
              <w:right w:val="nil"/>
            </w:tcBorders>
            <w:shd w:val="clear" w:color="auto" w:fill="BBBBBB"/>
            <w:tcMar>
              <w:left w:w="60" w:type="dxa"/>
              <w:right w:w="60" w:type="dxa"/>
            </w:tcMar>
            <w:vAlign w:val="bottom"/>
          </w:tcPr>
          <w:p w14:paraId="1EBB6128" w14:textId="5DB2A4B5" w:rsidR="00927122" w:rsidRDefault="00927122" w:rsidP="00D25742">
            <w:pPr>
              <w:keepNext/>
              <w:adjustRightInd w:val="0"/>
              <w:spacing w:before="60" w:after="60"/>
              <w:jc w:val="right"/>
              <w:rPr>
                <w:b/>
                <w:bCs/>
                <w:color w:val="000000"/>
                <w:sz w:val="22"/>
                <w:szCs w:val="22"/>
              </w:rPr>
            </w:pPr>
            <w:r>
              <w:rPr>
                <w:b/>
                <w:bCs/>
                <w:color w:val="000000"/>
                <w:sz w:val="22"/>
                <w:szCs w:val="22"/>
              </w:rPr>
              <w:t>Standard</w:t>
            </w:r>
            <w:r>
              <w:rPr>
                <w:b/>
                <w:bCs/>
                <w:color w:val="000000"/>
                <w:sz w:val="22"/>
                <w:szCs w:val="22"/>
              </w:rPr>
              <w:br/>
              <w:t>Error</w:t>
            </w:r>
          </w:p>
        </w:tc>
        <w:tc>
          <w:tcPr>
            <w:tcW w:w="2520" w:type="dxa"/>
            <w:gridSpan w:val="2"/>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58B00B1" w14:textId="34B41F9B" w:rsidR="00927122" w:rsidRDefault="00927122" w:rsidP="00D25742">
            <w:pPr>
              <w:keepNext/>
              <w:adjustRightInd w:val="0"/>
              <w:spacing w:before="60" w:after="60"/>
              <w:jc w:val="right"/>
              <w:rPr>
                <w:b/>
                <w:bCs/>
                <w:color w:val="000000"/>
                <w:sz w:val="22"/>
                <w:szCs w:val="22"/>
              </w:rPr>
            </w:pPr>
            <w:r>
              <w:rPr>
                <w:b/>
                <w:bCs/>
                <w:color w:val="000000"/>
                <w:sz w:val="22"/>
                <w:szCs w:val="22"/>
              </w:rPr>
              <w:t>95% Confidence Limits</w:t>
            </w:r>
          </w:p>
        </w:tc>
      </w:tr>
      <w:tr w:rsidR="00927122" w14:paraId="63C403C3" w14:textId="77777777" w:rsidTr="00927122">
        <w:trPr>
          <w:cantSplit/>
        </w:trPr>
        <w:tc>
          <w:tcPr>
            <w:tcW w:w="984" w:type="dxa"/>
            <w:tcBorders>
              <w:top w:val="nil"/>
              <w:left w:val="single" w:sz="6" w:space="0" w:color="000000"/>
              <w:bottom w:val="single" w:sz="2" w:space="0" w:color="000000"/>
              <w:right w:val="nil"/>
            </w:tcBorders>
            <w:shd w:val="clear" w:color="auto" w:fill="FFFFFF"/>
            <w:tcMar>
              <w:left w:w="60" w:type="dxa"/>
              <w:right w:w="60" w:type="dxa"/>
            </w:tcMar>
          </w:tcPr>
          <w:p w14:paraId="57C64DA4" w14:textId="56C47A6F" w:rsidR="00927122" w:rsidRDefault="00BD2C31" w:rsidP="00D25742">
            <w:pPr>
              <w:keepNext/>
              <w:adjustRightInd w:val="0"/>
              <w:spacing w:before="60" w:after="60"/>
              <w:jc w:val="right"/>
              <w:rPr>
                <w:color w:val="000000"/>
              </w:rPr>
            </w:pPr>
            <w:r>
              <w:rPr>
                <w:noProof/>
                <w:color w:val="000000"/>
                <w:lang w:bidi="ar-SA"/>
              </w:rPr>
              <mc:AlternateContent>
                <mc:Choice Requires="wps">
                  <w:drawing>
                    <wp:anchor distT="0" distB="0" distL="114300" distR="114300" simplePos="0" relativeHeight="251661312" behindDoc="0" locked="0" layoutInCell="1" allowOverlap="1" wp14:anchorId="16310975" wp14:editId="4CFE47BB">
                      <wp:simplePos x="0" y="0"/>
                      <wp:positionH relativeFrom="column">
                        <wp:posOffset>-42300</wp:posOffset>
                      </wp:positionH>
                      <wp:positionV relativeFrom="paragraph">
                        <wp:posOffset>2102</wp:posOffset>
                      </wp:positionV>
                      <wp:extent cx="630091" cy="261257"/>
                      <wp:effectExtent l="0" t="0" r="17780" b="24765"/>
                      <wp:wrapNone/>
                      <wp:docPr id="2" name="Rectangle 2"/>
                      <wp:cNvGraphicFramePr/>
                      <a:graphic xmlns:a="http://schemas.openxmlformats.org/drawingml/2006/main">
                        <a:graphicData uri="http://schemas.microsoft.com/office/word/2010/wordprocessingShape">
                          <wps:wsp>
                            <wps:cNvSpPr/>
                            <wps:spPr>
                              <a:xfrm>
                                <a:off x="0" y="0"/>
                                <a:ext cx="630091" cy="26125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6F00FE" id="Rectangle 2" o:spid="_x0000_s1026" style="position:absolute;margin-left:-3.35pt;margin-top:.15pt;width:49.6pt;height:2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" filled="f" strokecolor="red" strokeweight="1pt"/>
                  </w:pict>
                </mc:Fallback>
              </mc:AlternateContent>
            </w:r>
            <w:r w:rsidR="00927122">
              <w:rPr>
                <w:color w:val="000000"/>
              </w:rPr>
              <w:t>0.6203</w:t>
            </w:r>
          </w:p>
        </w:tc>
        <w:tc>
          <w:tcPr>
            <w:tcW w:w="1022" w:type="dxa"/>
            <w:tcBorders>
              <w:top w:val="nil"/>
              <w:left w:val="single" w:sz="2" w:space="0" w:color="000000"/>
              <w:bottom w:val="single" w:sz="2" w:space="0" w:color="000000"/>
              <w:right w:val="nil"/>
            </w:tcBorders>
            <w:shd w:val="clear" w:color="auto" w:fill="FFFFFF"/>
            <w:tcMar>
              <w:left w:w="60" w:type="dxa"/>
              <w:right w:w="60" w:type="dxa"/>
            </w:tcMar>
          </w:tcPr>
          <w:p w14:paraId="6D9D667D" w14:textId="77777777" w:rsidR="00927122" w:rsidRDefault="00927122" w:rsidP="00D25742">
            <w:pPr>
              <w:keepNext/>
              <w:adjustRightInd w:val="0"/>
              <w:spacing w:before="60" w:after="60"/>
              <w:jc w:val="right"/>
              <w:rPr>
                <w:color w:val="000000"/>
              </w:rPr>
            </w:pPr>
            <w:r>
              <w:rPr>
                <w:color w:val="000000"/>
              </w:rPr>
              <w:t>0.2013</w:t>
            </w:r>
          </w:p>
        </w:tc>
        <w:tc>
          <w:tcPr>
            <w:tcW w:w="1260" w:type="dxa"/>
            <w:tcBorders>
              <w:top w:val="nil"/>
              <w:left w:val="single" w:sz="2" w:space="0" w:color="000000"/>
              <w:bottom w:val="single" w:sz="2" w:space="0" w:color="000000"/>
              <w:right w:val="nil"/>
            </w:tcBorders>
            <w:shd w:val="clear" w:color="auto" w:fill="FFFFFF"/>
            <w:tcMar>
              <w:left w:w="60" w:type="dxa"/>
              <w:right w:w="60" w:type="dxa"/>
            </w:tcMar>
          </w:tcPr>
          <w:p w14:paraId="4A71C86A" w14:textId="77777777" w:rsidR="00927122" w:rsidRDefault="00927122" w:rsidP="00D25742">
            <w:pPr>
              <w:keepNext/>
              <w:adjustRightInd w:val="0"/>
              <w:spacing w:before="60" w:after="60"/>
              <w:jc w:val="right"/>
              <w:rPr>
                <w:color w:val="000000"/>
              </w:rPr>
            </w:pPr>
            <w:r>
              <w:rPr>
                <w:color w:val="000000"/>
              </w:rPr>
              <w:t>0.1649</w:t>
            </w:r>
          </w:p>
        </w:tc>
        <w:tc>
          <w:tcPr>
            <w:tcW w:w="126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A225FDB" w14:textId="77777777" w:rsidR="00927122" w:rsidRDefault="00927122" w:rsidP="00D25742">
            <w:pPr>
              <w:keepNext/>
              <w:adjustRightInd w:val="0"/>
              <w:spacing w:before="60" w:after="60"/>
              <w:jc w:val="right"/>
              <w:rPr>
                <w:color w:val="000000"/>
              </w:rPr>
            </w:pPr>
            <w:r>
              <w:rPr>
                <w:color w:val="000000"/>
              </w:rPr>
              <w:t>1.0000</w:t>
            </w:r>
          </w:p>
        </w:tc>
      </w:tr>
      <w:tr w:rsidR="00927122" w14:paraId="02B6ED2D" w14:textId="77777777" w:rsidTr="00927122">
        <w:trPr>
          <w:cantSplit/>
        </w:trPr>
        <w:tc>
          <w:tcPr>
            <w:tcW w:w="4526" w:type="dxa"/>
            <w:gridSpan w:val="4"/>
            <w:tcBorders>
              <w:top w:val="nil"/>
              <w:left w:val="single" w:sz="6" w:space="0" w:color="000000"/>
              <w:bottom w:val="single" w:sz="6" w:space="0" w:color="000000"/>
              <w:right w:val="single" w:sz="6" w:space="0" w:color="000000"/>
            </w:tcBorders>
            <w:shd w:val="clear" w:color="auto" w:fill="BBBBBB"/>
            <w:tcMar>
              <w:left w:w="60" w:type="dxa"/>
              <w:right w:w="60" w:type="dxa"/>
            </w:tcMar>
            <w:vAlign w:val="bottom"/>
          </w:tcPr>
          <w:p w14:paraId="71D13A4F" w14:textId="77777777" w:rsidR="00927122" w:rsidRDefault="00927122" w:rsidP="00D25742">
            <w:pPr>
              <w:keepNext/>
              <w:adjustRightInd w:val="0"/>
              <w:spacing w:before="60" w:after="60"/>
              <w:jc w:val="center"/>
              <w:rPr>
                <w:b/>
                <w:bCs/>
                <w:color w:val="000000"/>
                <w:sz w:val="22"/>
                <w:szCs w:val="22"/>
              </w:rPr>
            </w:pPr>
            <w:r>
              <w:rPr>
                <w:b/>
                <w:bCs/>
                <w:color w:val="000000"/>
                <w:sz w:val="22"/>
                <w:szCs w:val="22"/>
              </w:rPr>
              <w:t>Sample Size = 10</w:t>
            </w:r>
          </w:p>
        </w:tc>
      </w:tr>
    </w:tbl>
    <w:p w14:paraId="763A1FB8" w14:textId="0A8EDD0C" w:rsidR="0039673E" w:rsidRDefault="0039673E" w:rsidP="009B0A63">
      <w:pPr>
        <w:rPr>
          <w:rFonts w:ascii="Arial" w:hAnsi="Arial" w:cs="Arial"/>
        </w:rPr>
      </w:pPr>
    </w:p>
    <w:p w14:paraId="109B2B81" w14:textId="77777777" w:rsidR="0039673E" w:rsidRPr="009B0A63" w:rsidRDefault="0039673E" w:rsidP="009B0A63">
      <w:pPr>
        <w:rPr>
          <w:rFonts w:ascii="Arial" w:hAnsi="Arial" w:cs="Arial"/>
        </w:rPr>
      </w:pPr>
    </w:p>
    <w:p w14:paraId="426C8A97" w14:textId="77777777" w:rsidR="00C06806" w:rsidRDefault="00C06806" w:rsidP="00EC7D94">
      <w:pPr>
        <w:jc w:val="both"/>
        <w:rPr>
          <w:rFonts w:ascii="Arial" w:hAnsi="Arial" w:cs="Arial"/>
        </w:rPr>
      </w:pPr>
      <w:r>
        <w:rPr>
          <w:rFonts w:ascii="Arial" w:hAnsi="Arial" w:cs="Arial"/>
        </w:rPr>
        <w:t>The value of kappa is .620, as calculated in the book on page 214.</w:t>
      </w:r>
    </w:p>
    <w:p w14:paraId="50647F3E" w14:textId="037EB677" w:rsidR="0039673E" w:rsidRDefault="0039673E" w:rsidP="00C06806">
      <w:pPr>
        <w:rPr>
          <w:rFonts w:ascii="Arial" w:hAnsi="Arial" w:cs="Arial"/>
          <w:b/>
          <w:bCs/>
        </w:rPr>
      </w:pPr>
    </w:p>
    <w:p w14:paraId="2F2A9699" w14:textId="0FE03B3C" w:rsidR="00EC7D94" w:rsidRDefault="00EC7D94" w:rsidP="00EC7D94">
      <w:pPr>
        <w:jc w:val="center"/>
        <w:rPr>
          <w:rFonts w:ascii="Arial" w:hAnsi="Arial" w:cs="Arial"/>
          <w:b/>
          <w:bCs/>
        </w:rPr>
      </w:pPr>
    </w:p>
    <w:p w14:paraId="1425B3AB" w14:textId="6715366C" w:rsidR="0023119B" w:rsidRPr="0023119B" w:rsidRDefault="0023119B" w:rsidP="0023119B">
      <w:pPr>
        <w:rPr>
          <w:rFonts w:ascii="Arial" w:hAnsi="Arial" w:cs="Arial"/>
          <w:bCs/>
        </w:rPr>
      </w:pPr>
    </w:p>
    <w:p w14:paraId="7EAC57FE" w14:textId="33D5CB57" w:rsidR="008725A0" w:rsidRPr="008725A0" w:rsidRDefault="008725A0" w:rsidP="008725A0">
      <w:pPr>
        <w:rPr>
          <w:rFonts w:ascii="Arial" w:hAnsi="Arial" w:cs="Arial"/>
          <w:bCs/>
        </w:rPr>
      </w:pPr>
    </w:p>
    <w:sectPr w:rsidR="008725A0" w:rsidRPr="008725A0" w:rsidSect="00482F18">
      <w:headerReference w:type="default" r:id="rId8"/>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F5358" w14:textId="77777777" w:rsidR="00D64061" w:rsidRDefault="00D64061" w:rsidP="0061214C">
      <w:r>
        <w:separator/>
      </w:r>
    </w:p>
  </w:endnote>
  <w:endnote w:type="continuationSeparator" w:id="0">
    <w:p w14:paraId="27BFF5F3" w14:textId="77777777" w:rsidR="00D64061" w:rsidRDefault="00D64061"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76C62" w14:textId="77777777" w:rsidR="00D64061" w:rsidRDefault="00D64061" w:rsidP="0061214C">
      <w:r>
        <w:separator/>
      </w:r>
    </w:p>
  </w:footnote>
  <w:footnote w:type="continuationSeparator" w:id="0">
    <w:p w14:paraId="6770D643" w14:textId="77777777" w:rsidR="00D64061" w:rsidRDefault="00D64061"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128F9" w14:textId="2DBF27E2" w:rsidR="00482F18" w:rsidRDefault="00482F18" w:rsidP="00482F18">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55E3F056" w14:textId="6C7DB615" w:rsidR="00482F18" w:rsidRDefault="00482F18" w:rsidP="00482F18">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7DD2744A" w14:textId="77777777" w:rsidR="00482F18" w:rsidRDefault="00482F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2BD0"/>
    <w:rsid w:val="0007022A"/>
    <w:rsid w:val="00085582"/>
    <w:rsid w:val="000C7295"/>
    <w:rsid w:val="000F68BE"/>
    <w:rsid w:val="001041FC"/>
    <w:rsid w:val="00152FFE"/>
    <w:rsid w:val="0016289B"/>
    <w:rsid w:val="00175303"/>
    <w:rsid w:val="0017689F"/>
    <w:rsid w:val="001873E1"/>
    <w:rsid w:val="00195333"/>
    <w:rsid w:val="001A7789"/>
    <w:rsid w:val="001C5963"/>
    <w:rsid w:val="001D394B"/>
    <w:rsid w:val="002005B5"/>
    <w:rsid w:val="0021324C"/>
    <w:rsid w:val="002279AF"/>
    <w:rsid w:val="0023119B"/>
    <w:rsid w:val="00276F51"/>
    <w:rsid w:val="00281115"/>
    <w:rsid w:val="002B2E74"/>
    <w:rsid w:val="002C111F"/>
    <w:rsid w:val="002C5F73"/>
    <w:rsid w:val="00305F80"/>
    <w:rsid w:val="0032104A"/>
    <w:rsid w:val="00332A5A"/>
    <w:rsid w:val="00343BEC"/>
    <w:rsid w:val="003510DA"/>
    <w:rsid w:val="003522A9"/>
    <w:rsid w:val="00364325"/>
    <w:rsid w:val="0039673E"/>
    <w:rsid w:val="003D5107"/>
    <w:rsid w:val="003F1B9D"/>
    <w:rsid w:val="003F5837"/>
    <w:rsid w:val="00434E21"/>
    <w:rsid w:val="00455D0D"/>
    <w:rsid w:val="004777DC"/>
    <w:rsid w:val="00477800"/>
    <w:rsid w:val="00482F18"/>
    <w:rsid w:val="00496645"/>
    <w:rsid w:val="004C344B"/>
    <w:rsid w:val="004C4780"/>
    <w:rsid w:val="004C58CF"/>
    <w:rsid w:val="004D5E6B"/>
    <w:rsid w:val="004F0D81"/>
    <w:rsid w:val="0050210B"/>
    <w:rsid w:val="00523ABE"/>
    <w:rsid w:val="00533B4C"/>
    <w:rsid w:val="00566822"/>
    <w:rsid w:val="00593301"/>
    <w:rsid w:val="005B11BA"/>
    <w:rsid w:val="005E2D90"/>
    <w:rsid w:val="005E62F6"/>
    <w:rsid w:val="00602F36"/>
    <w:rsid w:val="0061214C"/>
    <w:rsid w:val="00622ACC"/>
    <w:rsid w:val="00640989"/>
    <w:rsid w:val="006647A2"/>
    <w:rsid w:val="00681DAD"/>
    <w:rsid w:val="006C6770"/>
    <w:rsid w:val="007216E8"/>
    <w:rsid w:val="0073153C"/>
    <w:rsid w:val="007505A4"/>
    <w:rsid w:val="00752A5A"/>
    <w:rsid w:val="0076504A"/>
    <w:rsid w:val="007926CB"/>
    <w:rsid w:val="007D1FB3"/>
    <w:rsid w:val="008223B7"/>
    <w:rsid w:val="0086746B"/>
    <w:rsid w:val="008725A0"/>
    <w:rsid w:val="008852AE"/>
    <w:rsid w:val="00885BBB"/>
    <w:rsid w:val="008A3CC3"/>
    <w:rsid w:val="008A6DA0"/>
    <w:rsid w:val="008B602C"/>
    <w:rsid w:val="009006DD"/>
    <w:rsid w:val="00921E09"/>
    <w:rsid w:val="00927122"/>
    <w:rsid w:val="00935F1B"/>
    <w:rsid w:val="00936708"/>
    <w:rsid w:val="0094012A"/>
    <w:rsid w:val="0094624F"/>
    <w:rsid w:val="009B0A63"/>
    <w:rsid w:val="009D0181"/>
    <w:rsid w:val="009D0FC3"/>
    <w:rsid w:val="009E38C5"/>
    <w:rsid w:val="009F7055"/>
    <w:rsid w:val="00A37E24"/>
    <w:rsid w:val="00A44940"/>
    <w:rsid w:val="00AD3AE6"/>
    <w:rsid w:val="00B02201"/>
    <w:rsid w:val="00B15047"/>
    <w:rsid w:val="00B15A14"/>
    <w:rsid w:val="00B378F2"/>
    <w:rsid w:val="00B7260C"/>
    <w:rsid w:val="00B77FAE"/>
    <w:rsid w:val="00B9267E"/>
    <w:rsid w:val="00BC6E71"/>
    <w:rsid w:val="00BD2C31"/>
    <w:rsid w:val="00BD4140"/>
    <w:rsid w:val="00C06806"/>
    <w:rsid w:val="00C501F5"/>
    <w:rsid w:val="00C8150B"/>
    <w:rsid w:val="00C952F3"/>
    <w:rsid w:val="00CD3913"/>
    <w:rsid w:val="00CE770F"/>
    <w:rsid w:val="00D008F8"/>
    <w:rsid w:val="00D025BD"/>
    <w:rsid w:val="00D16D74"/>
    <w:rsid w:val="00D32247"/>
    <w:rsid w:val="00D47D73"/>
    <w:rsid w:val="00D54467"/>
    <w:rsid w:val="00D64061"/>
    <w:rsid w:val="00D81E8A"/>
    <w:rsid w:val="00D974CA"/>
    <w:rsid w:val="00DF14CC"/>
    <w:rsid w:val="00E14128"/>
    <w:rsid w:val="00E25A31"/>
    <w:rsid w:val="00E27D3A"/>
    <w:rsid w:val="00E41333"/>
    <w:rsid w:val="00E4588E"/>
    <w:rsid w:val="00E64B84"/>
    <w:rsid w:val="00E94EEC"/>
    <w:rsid w:val="00EA7A52"/>
    <w:rsid w:val="00EC7D94"/>
    <w:rsid w:val="00F04039"/>
    <w:rsid w:val="00F12860"/>
    <w:rsid w:val="00F26002"/>
    <w:rsid w:val="00F61FA7"/>
    <w:rsid w:val="00F8667B"/>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482F18"/>
    <w:pPr>
      <w:tabs>
        <w:tab w:val="center" w:pos="4680"/>
        <w:tab w:val="right" w:pos="9360"/>
      </w:tabs>
    </w:pPr>
  </w:style>
  <w:style w:type="character" w:customStyle="1" w:styleId="HeaderChar">
    <w:name w:val="Header Char"/>
    <w:basedOn w:val="DefaultParagraphFont"/>
    <w:link w:val="Header"/>
    <w:uiPriority w:val="99"/>
    <w:rsid w:val="00482F18"/>
    <w:rPr>
      <w:sz w:val="24"/>
      <w:szCs w:val="24"/>
      <w:lang w:bidi="en-US"/>
    </w:rPr>
  </w:style>
  <w:style w:type="paragraph" w:styleId="Footer">
    <w:name w:val="footer"/>
    <w:basedOn w:val="Normal"/>
    <w:link w:val="FooterChar"/>
    <w:uiPriority w:val="99"/>
    <w:unhideWhenUsed/>
    <w:rsid w:val="00482F18"/>
    <w:pPr>
      <w:tabs>
        <w:tab w:val="center" w:pos="4680"/>
        <w:tab w:val="right" w:pos="9360"/>
      </w:tabs>
    </w:pPr>
  </w:style>
  <w:style w:type="character" w:customStyle="1" w:styleId="FooterChar">
    <w:name w:val="Footer Char"/>
    <w:basedOn w:val="DefaultParagraphFont"/>
    <w:link w:val="Footer"/>
    <w:uiPriority w:val="99"/>
    <w:rsid w:val="00482F18"/>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89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C130A-0819-4CDF-B1BE-F14EC6CB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9</cp:revision>
  <dcterms:created xsi:type="dcterms:W3CDTF">2020-07-14T17:28:00Z</dcterms:created>
  <dcterms:modified xsi:type="dcterms:W3CDTF">2021-08-17T21:21:00Z</dcterms:modified>
</cp:coreProperties>
</file>